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76E4" w14:textId="39E4C737" w:rsidR="004E0319" w:rsidRDefault="003018E5" w:rsidP="004E0319">
      <w:pPr>
        <w:jc w:val="center"/>
        <w:rPr>
          <w:rFonts w:ascii="Garamond" w:hAnsi="Garamond"/>
          <w:b/>
          <w:bCs/>
        </w:rPr>
      </w:pPr>
      <w:r w:rsidRPr="004E0319">
        <w:rPr>
          <w:rFonts w:ascii="Garamond" w:hAnsi="Garamond"/>
          <w:b/>
          <w:bCs/>
        </w:rPr>
        <w:t>VADEMECUM REINTEGRATION</w:t>
      </w:r>
      <w:r w:rsidR="004E0319" w:rsidRPr="004E0319">
        <w:rPr>
          <w:rFonts w:ascii="Garamond" w:hAnsi="Garamond"/>
          <w:b/>
          <w:bCs/>
        </w:rPr>
        <w:t xml:space="preserve"> SOIGNANTS SUSPENDUS</w:t>
      </w:r>
      <w:r w:rsidR="007E7678">
        <w:rPr>
          <w:rFonts w:ascii="Garamond" w:hAnsi="Garamond"/>
          <w:b/>
          <w:bCs/>
        </w:rPr>
        <w:t xml:space="preserve"> A L’USAGE DES SALARIES DU PRIVE ET DES CONTRACTUELS DE L’ADMINISTRATION</w:t>
      </w:r>
    </w:p>
    <w:p w14:paraId="18BB66DE" w14:textId="77777777" w:rsidR="007E7678" w:rsidRDefault="007E7678" w:rsidP="004E0319">
      <w:pPr>
        <w:jc w:val="center"/>
        <w:rPr>
          <w:rFonts w:ascii="Garamond" w:hAnsi="Garamond"/>
          <w:b/>
          <w:bCs/>
        </w:rPr>
      </w:pPr>
    </w:p>
    <w:p w14:paraId="13EAF696" w14:textId="77777777" w:rsidR="004E0319" w:rsidRDefault="004E0319" w:rsidP="004E0319">
      <w:pPr>
        <w:jc w:val="center"/>
        <w:rPr>
          <w:rFonts w:ascii="Garamond" w:hAnsi="Garamond"/>
          <w:b/>
          <w:bCs/>
        </w:rPr>
      </w:pPr>
    </w:p>
    <w:p w14:paraId="50159E2D" w14:textId="3B02B2AE" w:rsidR="003018E5" w:rsidRDefault="00EF360D" w:rsidP="004E0319">
      <w:pPr>
        <w:jc w:val="center"/>
        <w:rPr>
          <w:rFonts w:ascii="Garamond" w:hAnsi="Garamond"/>
          <w:b/>
          <w:bCs/>
          <w:i/>
          <w:iCs/>
        </w:rPr>
      </w:pPr>
      <w:r w:rsidRPr="004E0319">
        <w:rPr>
          <w:rFonts w:ascii="Garamond" w:hAnsi="Garamond"/>
          <w:b/>
          <w:bCs/>
          <w:i/>
          <w:iCs/>
        </w:rPr>
        <w:t>Imprévision</w:t>
      </w:r>
      <w:r w:rsidR="004E0319" w:rsidRPr="004E0319">
        <w:rPr>
          <w:rFonts w:ascii="Garamond" w:hAnsi="Garamond"/>
          <w:b/>
          <w:bCs/>
          <w:i/>
          <w:iCs/>
        </w:rPr>
        <w:t xml:space="preserve"> </w:t>
      </w:r>
      <w:r w:rsidRPr="004E0319">
        <w:rPr>
          <w:rFonts w:ascii="Garamond" w:hAnsi="Garamond"/>
          <w:b/>
          <w:bCs/>
          <w:i/>
          <w:iCs/>
        </w:rPr>
        <w:t>et prohibition des engagements perpétuels</w:t>
      </w:r>
    </w:p>
    <w:p w14:paraId="718D951A" w14:textId="5429A65C" w:rsidR="002B0036" w:rsidRPr="004E0319" w:rsidRDefault="002B0036" w:rsidP="004E0319">
      <w:pPr>
        <w:jc w:val="center"/>
        <w:rPr>
          <w:rFonts w:ascii="Garamond" w:hAnsi="Garamond"/>
          <w:b/>
          <w:bCs/>
          <w:i/>
          <w:iCs/>
        </w:rPr>
      </w:pPr>
      <w:r>
        <w:rPr>
          <w:rFonts w:ascii="Garamond" w:hAnsi="Garamond"/>
          <w:b/>
          <w:bCs/>
          <w:i/>
          <w:iCs/>
        </w:rPr>
        <w:t>Violation de l’interdiction du servage</w:t>
      </w:r>
    </w:p>
    <w:p w14:paraId="100F65CC" w14:textId="1D17CA8A" w:rsidR="004E0319" w:rsidRDefault="004E0319">
      <w:pPr>
        <w:rPr>
          <w:rFonts w:ascii="Garamond" w:hAnsi="Garamond"/>
          <w:b/>
          <w:bCs/>
        </w:rPr>
      </w:pPr>
    </w:p>
    <w:p w14:paraId="34C1C34F" w14:textId="086E89DD" w:rsidR="004E0319" w:rsidRDefault="004E0319">
      <w:pPr>
        <w:rPr>
          <w:rFonts w:ascii="Garamond" w:hAnsi="Garamond"/>
          <w:b/>
          <w:bCs/>
        </w:rPr>
      </w:pPr>
    </w:p>
    <w:p w14:paraId="18FA8933" w14:textId="77777777" w:rsidR="002B0036" w:rsidRDefault="002B0036" w:rsidP="00EF360D">
      <w:pPr>
        <w:jc w:val="both"/>
        <w:rPr>
          <w:rFonts w:ascii="Garamond" w:hAnsi="Garamond"/>
        </w:rPr>
      </w:pPr>
    </w:p>
    <w:p w14:paraId="13ABA6CC" w14:textId="5CE003B1" w:rsidR="004E0319" w:rsidRDefault="004E0319" w:rsidP="00EF360D">
      <w:pPr>
        <w:jc w:val="both"/>
        <w:rPr>
          <w:rFonts w:ascii="Garamond" w:hAnsi="Garamond"/>
        </w:rPr>
      </w:pPr>
      <w:r>
        <w:rPr>
          <w:rFonts w:ascii="Garamond" w:hAnsi="Garamond"/>
        </w:rPr>
        <w:t>En dépit de tout bon sens juridique, le gouvernement semble s’obstiner à ne pas réintégrer les soignants suspendus car non vaccinés contre le COVID 19.</w:t>
      </w:r>
    </w:p>
    <w:p w14:paraId="170999B6" w14:textId="665A8FCA" w:rsidR="004E0319" w:rsidRDefault="004E0319" w:rsidP="00EF360D">
      <w:pPr>
        <w:jc w:val="both"/>
        <w:rPr>
          <w:rFonts w:ascii="Garamond" w:hAnsi="Garamond"/>
        </w:rPr>
      </w:pPr>
    </w:p>
    <w:p w14:paraId="3B4B2CD2" w14:textId="35F41355" w:rsidR="004E0319" w:rsidRDefault="004E0319" w:rsidP="00EF360D">
      <w:pPr>
        <w:jc w:val="both"/>
        <w:rPr>
          <w:rFonts w:ascii="Garamond" w:hAnsi="Garamond"/>
        </w:rPr>
      </w:pPr>
      <w:r>
        <w:rPr>
          <w:rFonts w:ascii="Garamond" w:hAnsi="Garamond"/>
        </w:rPr>
        <w:t>Le ministre de la Santé a saisi la HAS qui rendra au mois de janvier 2023 un avis, que le ministre sera libre de suivre ou non.</w:t>
      </w:r>
    </w:p>
    <w:p w14:paraId="6F967FF7" w14:textId="7BB809A2" w:rsidR="004E0319" w:rsidRDefault="004E0319" w:rsidP="00EF360D">
      <w:pPr>
        <w:jc w:val="both"/>
        <w:rPr>
          <w:rFonts w:ascii="Garamond" w:hAnsi="Garamond"/>
        </w:rPr>
      </w:pPr>
    </w:p>
    <w:p w14:paraId="5E568310" w14:textId="4AFDEA9D" w:rsidR="004E0319" w:rsidRDefault="004E0319" w:rsidP="00EF360D">
      <w:pPr>
        <w:jc w:val="both"/>
        <w:rPr>
          <w:rFonts w:ascii="Garamond" w:hAnsi="Garamond"/>
        </w:rPr>
      </w:pPr>
      <w:r>
        <w:rPr>
          <w:rFonts w:ascii="Garamond" w:hAnsi="Garamond"/>
        </w:rPr>
        <w:t>Dans ce contexte il apparaît utile de faire « pression » en ne laissant pas mourir le contentieux des soignants suspendus devant les juridictions prud’hommales et administrative.</w:t>
      </w:r>
    </w:p>
    <w:p w14:paraId="1D3EA9C5" w14:textId="0803B114" w:rsidR="004E0319" w:rsidRDefault="004E0319" w:rsidP="00EF360D">
      <w:pPr>
        <w:jc w:val="both"/>
        <w:rPr>
          <w:rFonts w:ascii="Garamond" w:hAnsi="Garamond"/>
        </w:rPr>
      </w:pPr>
    </w:p>
    <w:p w14:paraId="10ACFCD3" w14:textId="120295FF" w:rsidR="004E0319" w:rsidRDefault="004E0319" w:rsidP="00EF360D">
      <w:pPr>
        <w:jc w:val="both"/>
        <w:rPr>
          <w:rFonts w:ascii="Garamond" w:hAnsi="Garamond"/>
        </w:rPr>
      </w:pPr>
      <w:r>
        <w:rPr>
          <w:rFonts w:ascii="Garamond" w:hAnsi="Garamond"/>
        </w:rPr>
        <w:t>Il convient donc que les soignants suspendus se rappellent aux souvenirs de leurs employeurs.</w:t>
      </w:r>
    </w:p>
    <w:p w14:paraId="75C55215" w14:textId="2DEAEA70" w:rsidR="004E0319" w:rsidRDefault="004E0319" w:rsidP="00EF360D">
      <w:pPr>
        <w:jc w:val="both"/>
        <w:rPr>
          <w:rFonts w:ascii="Garamond" w:hAnsi="Garamond"/>
        </w:rPr>
      </w:pPr>
    </w:p>
    <w:p w14:paraId="28309970" w14:textId="0924B17A" w:rsidR="004E0319" w:rsidRDefault="004E0319" w:rsidP="00EF360D">
      <w:pPr>
        <w:jc w:val="both"/>
        <w:rPr>
          <w:rFonts w:ascii="Garamond" w:hAnsi="Garamond"/>
        </w:rPr>
      </w:pPr>
      <w:r>
        <w:rPr>
          <w:rFonts w:ascii="Garamond" w:hAnsi="Garamond"/>
        </w:rPr>
        <w:t>Pour ce faire, il est proposé d’utiliser les co</w:t>
      </w:r>
      <w:r w:rsidR="00EF360D">
        <w:rPr>
          <w:rFonts w:ascii="Garamond" w:hAnsi="Garamond"/>
        </w:rPr>
        <w:t>ncepts d’imprévision et de prohibition des engagements perpétuels.</w:t>
      </w:r>
    </w:p>
    <w:p w14:paraId="5FB94D84" w14:textId="62DFA3A2" w:rsidR="00EF360D" w:rsidRDefault="00EF360D" w:rsidP="00EF360D">
      <w:pPr>
        <w:jc w:val="both"/>
        <w:rPr>
          <w:rFonts w:ascii="Garamond" w:hAnsi="Garamond"/>
        </w:rPr>
      </w:pPr>
    </w:p>
    <w:p w14:paraId="38956029" w14:textId="5E6E3295" w:rsidR="00EF360D" w:rsidRDefault="00EF360D" w:rsidP="00EF360D">
      <w:pPr>
        <w:jc w:val="both"/>
        <w:rPr>
          <w:rFonts w:ascii="Garamond" w:hAnsi="Garamond"/>
        </w:rPr>
      </w:pPr>
      <w:r>
        <w:rPr>
          <w:rFonts w:ascii="Garamond" w:hAnsi="Garamond"/>
        </w:rPr>
        <w:t>Une application pratique est détaillée ensuite de l’exposé de ces principes juridiques.</w:t>
      </w:r>
    </w:p>
    <w:p w14:paraId="44975BCA" w14:textId="7DA9302B" w:rsidR="002B0036" w:rsidRDefault="002B0036" w:rsidP="00EF360D">
      <w:pPr>
        <w:jc w:val="both"/>
        <w:rPr>
          <w:rFonts w:ascii="Garamond" w:hAnsi="Garamond"/>
        </w:rPr>
      </w:pPr>
    </w:p>
    <w:p w14:paraId="5EA9CF04" w14:textId="27318090" w:rsidR="002B0036" w:rsidRPr="004E0319" w:rsidRDefault="002B0036" w:rsidP="00EF360D">
      <w:pPr>
        <w:jc w:val="both"/>
        <w:rPr>
          <w:rFonts w:ascii="Garamond" w:hAnsi="Garamond"/>
        </w:rPr>
      </w:pPr>
      <w:r>
        <w:rPr>
          <w:rFonts w:ascii="Garamond" w:hAnsi="Garamond"/>
        </w:rPr>
        <w:t>Par ailleurs, il pourrait être utile de saisir le Comité des Droits de l’Homme de l’ONU pour violation de l’interdiction du servage à l’encontre de l’</w:t>
      </w:r>
      <w:proofErr w:type="spellStart"/>
      <w:r>
        <w:rPr>
          <w:rFonts w:ascii="Garamond" w:hAnsi="Garamond"/>
        </w:rPr>
        <w:t>Etat</w:t>
      </w:r>
      <w:proofErr w:type="spellEnd"/>
      <w:r>
        <w:rPr>
          <w:rFonts w:ascii="Garamond" w:hAnsi="Garamond"/>
        </w:rPr>
        <w:t xml:space="preserve"> Français, du président de la République, du premier ministre et du ministre de la </w:t>
      </w:r>
      <w:proofErr w:type="gramStart"/>
      <w:r>
        <w:rPr>
          <w:rFonts w:ascii="Garamond" w:hAnsi="Garamond"/>
        </w:rPr>
        <w:t>santé</w:t>
      </w:r>
      <w:proofErr w:type="gramEnd"/>
      <w:r>
        <w:rPr>
          <w:rFonts w:ascii="Garamond" w:hAnsi="Garamond"/>
        </w:rPr>
        <w:t>. Cela peut se faire par mail et un modèle prérempli est proposé.</w:t>
      </w:r>
    </w:p>
    <w:p w14:paraId="2022816F" w14:textId="66CC3AE4" w:rsidR="004E0319" w:rsidRDefault="004E0319" w:rsidP="004E0319">
      <w:pPr>
        <w:jc w:val="both"/>
        <w:rPr>
          <w:rFonts w:ascii="Garamond" w:hAnsi="Garamond"/>
          <w:b/>
          <w:bCs/>
        </w:rPr>
      </w:pPr>
    </w:p>
    <w:p w14:paraId="43FC262D" w14:textId="77777777" w:rsidR="004E0319" w:rsidRDefault="004E0319" w:rsidP="004E0319">
      <w:pPr>
        <w:jc w:val="both"/>
        <w:rPr>
          <w:rFonts w:ascii="Garamond" w:hAnsi="Garamond"/>
          <w:b/>
          <w:bCs/>
        </w:rPr>
      </w:pPr>
    </w:p>
    <w:p w14:paraId="5512E521" w14:textId="4963E779" w:rsidR="004E0319" w:rsidRDefault="004E0319" w:rsidP="004E0319">
      <w:pPr>
        <w:pStyle w:val="Paragraphedeliste"/>
        <w:numPr>
          <w:ilvl w:val="0"/>
          <w:numId w:val="1"/>
        </w:numPr>
        <w:jc w:val="both"/>
        <w:rPr>
          <w:rFonts w:ascii="Garamond" w:hAnsi="Garamond"/>
          <w:b/>
          <w:bCs/>
        </w:rPr>
      </w:pPr>
      <w:r>
        <w:rPr>
          <w:rFonts w:ascii="Garamond" w:hAnsi="Garamond"/>
          <w:b/>
          <w:bCs/>
        </w:rPr>
        <w:t>L’imprévision</w:t>
      </w:r>
    </w:p>
    <w:p w14:paraId="18B3F782" w14:textId="6FF9B49C" w:rsidR="004E0319" w:rsidRDefault="004E0319" w:rsidP="004E0319">
      <w:pPr>
        <w:jc w:val="both"/>
        <w:rPr>
          <w:rFonts w:ascii="Garamond" w:hAnsi="Garamond"/>
          <w:b/>
          <w:bCs/>
        </w:rPr>
      </w:pPr>
    </w:p>
    <w:p w14:paraId="5992B1FE" w14:textId="6BC337B6" w:rsidR="004E0319" w:rsidRPr="004E0319" w:rsidRDefault="004E0319" w:rsidP="004E0319">
      <w:pPr>
        <w:jc w:val="both"/>
        <w:rPr>
          <w:rFonts w:ascii="Garamond" w:hAnsi="Garamond"/>
          <w:b/>
          <w:bCs/>
        </w:rPr>
      </w:pPr>
    </w:p>
    <w:p w14:paraId="33B859F9" w14:textId="3FF1FBEE" w:rsidR="00EF360D" w:rsidRPr="00EF360D" w:rsidRDefault="00EF360D" w:rsidP="00EF360D">
      <w:pPr>
        <w:pStyle w:val="DZAppany"/>
        <w:jc w:val="both"/>
        <w:rPr>
          <w:rStyle w:val="DZAppanyCharacter"/>
          <w:rFonts w:ascii="Garamond" w:eastAsia="Arial" w:hAnsi="Garamond" w:cs="Arial"/>
          <w:color w:val="000000" w:themeColor="text1"/>
        </w:rPr>
      </w:pPr>
      <w:r w:rsidRPr="00EF360D">
        <w:rPr>
          <w:rStyle w:val="DZAppanyCharacter"/>
          <w:rFonts w:ascii="Garamond" w:eastAsia="Arial" w:hAnsi="Garamond" w:cs="Arial"/>
          <w:color w:val="000000" w:themeColor="text1"/>
        </w:rPr>
        <w:t>En vertu de l'article 1195 introduit dans le code civil par l'ordonnance n° 2016-131 du 10 février 2016, entrant en vigueur le 1</w:t>
      </w:r>
      <w:r w:rsidRPr="00EF360D">
        <w:rPr>
          <w:rStyle w:val="DZAppanyCharacter"/>
          <w:rFonts w:ascii="Garamond" w:eastAsia="Arial" w:hAnsi="Garamond" w:cs="Arial"/>
          <w:color w:val="000000" w:themeColor="text1"/>
          <w:vertAlign w:val="superscript"/>
        </w:rPr>
        <w:t>er</w:t>
      </w:r>
      <w:r w:rsidRPr="00EF360D">
        <w:rPr>
          <w:rStyle w:val="DZAppanyCharacter"/>
          <w:rFonts w:ascii="Garamond" w:eastAsia="Arial" w:hAnsi="Garamond" w:cs="Arial"/>
          <w:color w:val="000000" w:themeColor="text1"/>
        </w:rPr>
        <w:t xml:space="preserve"> octobre 2016</w:t>
      </w:r>
      <w:r>
        <w:rPr>
          <w:rStyle w:val="DZAppanyCharacter"/>
          <w:rFonts w:ascii="Garamond" w:eastAsia="Arial" w:hAnsi="Garamond" w:cs="Arial"/>
          <w:color w:val="000000" w:themeColor="text1"/>
        </w:rPr>
        <w:t> :</w:t>
      </w:r>
      <w:r w:rsidRPr="00EF360D">
        <w:rPr>
          <w:rStyle w:val="DZAppanyCharacter"/>
          <w:rFonts w:ascii="Garamond" w:eastAsia="Arial" w:hAnsi="Garamond" w:cs="Arial"/>
          <w:color w:val="000000" w:themeColor="text1"/>
        </w:rPr>
        <w:t xml:space="preserve"> </w:t>
      </w:r>
      <w:r w:rsidRPr="00EF360D">
        <w:rPr>
          <w:rStyle w:val="DZAppanyCharacter"/>
          <w:rFonts w:ascii="Garamond" w:eastAsia="Arial" w:hAnsi="Garamond" w:cs="Arial"/>
          <w:b/>
          <w:bCs/>
          <w:color w:val="000000" w:themeColor="text1"/>
        </w:rPr>
        <w:t>« Si un changement de circonstances imprévisible lors de la conclusion du contrat rend l'exécution excessivement onéreuse pour une partie qui n'avait pas accepté d'en assumer le risque, celle-ci peut demander une renégociation du contrat à son cocontractant. Elle continue à exécuter ses obligations durant la renégociation.</w:t>
      </w:r>
    </w:p>
    <w:p w14:paraId="531106A9" w14:textId="54BEEFA7" w:rsidR="00EF360D" w:rsidRDefault="00EF360D" w:rsidP="00EF360D">
      <w:pPr>
        <w:pStyle w:val="DZAppany"/>
        <w:jc w:val="both"/>
        <w:rPr>
          <w:rStyle w:val="DZAppanyCharacter"/>
          <w:rFonts w:ascii="Garamond" w:eastAsia="Arial" w:hAnsi="Garamond" w:cs="Arial"/>
          <w:b/>
          <w:bCs/>
          <w:color w:val="000000" w:themeColor="text1"/>
        </w:rPr>
      </w:pPr>
      <w:r w:rsidRPr="00EF360D">
        <w:rPr>
          <w:rStyle w:val="DZAppanyCharacter"/>
          <w:rFonts w:ascii="Garamond" w:eastAsia="Arial" w:hAnsi="Garamond" w:cs="Arial"/>
          <w:b/>
          <w:bCs/>
          <w:color w:val="000000" w:themeColor="text1"/>
        </w:rPr>
        <w:t>En cas de refus ou d'échec de la renégociation, les parties peuvent convenir de la résolution du contrat, à la date et aux conditions qu'elles déterminent, ou demander d'un commun accord au juge de procéder à son adaptation. À défaut d'accord dans un délai raisonnable, le juge peut, à la demande d'une partie, réviser le contrat ou y mettre fin, à la date et aux conditions qu'il fixe. »</w:t>
      </w:r>
    </w:p>
    <w:p w14:paraId="3BFCCABC" w14:textId="77777777" w:rsidR="00EF360D" w:rsidRPr="00EF360D" w:rsidRDefault="00EF360D" w:rsidP="00EF360D">
      <w:pPr>
        <w:pStyle w:val="DZAppany"/>
        <w:jc w:val="both"/>
        <w:rPr>
          <w:rStyle w:val="DZAppanyCharacter"/>
          <w:rFonts w:ascii="Garamond" w:eastAsia="Arial" w:hAnsi="Garamond" w:cs="Arial"/>
          <w:color w:val="000000" w:themeColor="text1"/>
        </w:rPr>
      </w:pPr>
    </w:p>
    <w:p w14:paraId="4F3965CC" w14:textId="6BFA6BCE" w:rsidR="00EF360D" w:rsidRDefault="00EF360D" w:rsidP="00EF360D">
      <w:pPr>
        <w:pStyle w:val="DZAppany"/>
        <w:jc w:val="both"/>
        <w:rPr>
          <w:rStyle w:val="DZAppanyCharacter"/>
          <w:rFonts w:ascii="Garamond" w:eastAsia="Arial" w:hAnsi="Garamond" w:cs="Arial"/>
          <w:color w:val="000000" w:themeColor="text1"/>
        </w:rPr>
      </w:pPr>
      <w:r w:rsidRPr="00EF360D">
        <w:rPr>
          <w:rStyle w:val="DZAppanyCharacter"/>
          <w:rFonts w:ascii="Garamond" w:eastAsia="Arial" w:hAnsi="Garamond" w:cs="Arial"/>
          <w:color w:val="000000" w:themeColor="text1"/>
        </w:rPr>
        <w:t xml:space="preserve">L'imprévision est subordonnée à un </w:t>
      </w:r>
      <w:r w:rsidRPr="00EF360D">
        <w:rPr>
          <w:rStyle w:val="DZAppanyCharacter"/>
          <w:rFonts w:ascii="Garamond" w:eastAsia="Arial" w:hAnsi="Garamond" w:cs="Arial"/>
          <w:b/>
          <w:bCs/>
          <w:color w:val="000000" w:themeColor="text1"/>
        </w:rPr>
        <w:t>bouleversement du contrat</w:t>
      </w:r>
      <w:r w:rsidRPr="00EF360D">
        <w:rPr>
          <w:rStyle w:val="DZAppanyCharacter"/>
          <w:rFonts w:ascii="Garamond" w:eastAsia="Arial" w:hAnsi="Garamond" w:cs="Arial"/>
          <w:color w:val="000000" w:themeColor="text1"/>
        </w:rPr>
        <w:t xml:space="preserve"> postérieur à sa conclusion et altérant son exécution.</w:t>
      </w:r>
    </w:p>
    <w:p w14:paraId="0106B20E" w14:textId="77777777" w:rsidR="00EF360D" w:rsidRPr="00EF360D" w:rsidRDefault="00EF360D" w:rsidP="00EF360D">
      <w:pPr>
        <w:pStyle w:val="DZAppany"/>
        <w:jc w:val="both"/>
        <w:rPr>
          <w:rStyle w:val="DZAppanyCharacter"/>
          <w:rFonts w:ascii="Garamond" w:eastAsia="Arial" w:hAnsi="Garamond" w:cs="Arial"/>
          <w:color w:val="000000" w:themeColor="text1"/>
        </w:rPr>
      </w:pPr>
    </w:p>
    <w:p w14:paraId="2DE3D618" w14:textId="77777777" w:rsidR="00EF360D" w:rsidRDefault="00EF360D" w:rsidP="00EF360D">
      <w:pPr>
        <w:pStyle w:val="DZAppany"/>
        <w:jc w:val="both"/>
        <w:rPr>
          <w:rStyle w:val="DZAppanyCharacter"/>
          <w:rFonts w:ascii="Garamond" w:eastAsia="Arial" w:hAnsi="Garamond" w:cs="Arial"/>
          <w:color w:val="000000" w:themeColor="text1"/>
        </w:rPr>
      </w:pPr>
      <w:r w:rsidRPr="00EF360D">
        <w:rPr>
          <w:rStyle w:val="DZAppanyCharacter"/>
          <w:rFonts w:ascii="Garamond" w:eastAsia="Arial" w:hAnsi="Garamond" w:cs="Arial"/>
          <w:color w:val="000000" w:themeColor="text1"/>
        </w:rPr>
        <w:t xml:space="preserve">Un tel changement ne doit pas avoir pu être prévu en amont par les parties, au moment où elles ont échangé leurs consentements. </w:t>
      </w:r>
    </w:p>
    <w:p w14:paraId="440BDC1C" w14:textId="77777777" w:rsidR="00EF360D" w:rsidRDefault="00EF360D" w:rsidP="00EF360D">
      <w:pPr>
        <w:pStyle w:val="DZAppany"/>
        <w:jc w:val="both"/>
        <w:rPr>
          <w:rStyle w:val="DZAppanyCharacter"/>
          <w:rFonts w:ascii="Garamond" w:eastAsia="Arial" w:hAnsi="Garamond" w:cs="Arial"/>
          <w:color w:val="000000" w:themeColor="text1"/>
        </w:rPr>
      </w:pPr>
    </w:p>
    <w:p w14:paraId="68032C3B" w14:textId="189916C9" w:rsidR="00EF360D" w:rsidRPr="00EF360D" w:rsidRDefault="00EF360D" w:rsidP="00EF360D">
      <w:pPr>
        <w:pStyle w:val="DZAppany"/>
        <w:jc w:val="both"/>
        <w:rPr>
          <w:rStyle w:val="DZAppanyCharacter"/>
          <w:rFonts w:ascii="Garamond" w:eastAsia="Arial" w:hAnsi="Garamond" w:cs="Arial"/>
          <w:color w:val="000000" w:themeColor="text1"/>
        </w:rPr>
      </w:pPr>
      <w:r w:rsidRPr="00EF360D">
        <w:rPr>
          <w:rStyle w:val="DZAppanyCharacter"/>
          <w:rFonts w:ascii="Garamond" w:eastAsia="Arial" w:hAnsi="Garamond" w:cs="Arial"/>
          <w:color w:val="000000" w:themeColor="text1"/>
        </w:rPr>
        <w:t>Dès lors, l'imprévision ne pourra être retenue que dans la mesure d'une dénaturation contractuelle que les parties n'ont pas pu raisonnablement anticiper.</w:t>
      </w:r>
    </w:p>
    <w:p w14:paraId="312D1583" w14:textId="77777777" w:rsidR="00EF360D" w:rsidRDefault="00EF360D" w:rsidP="00EF360D">
      <w:pPr>
        <w:pStyle w:val="DZAppany"/>
        <w:jc w:val="both"/>
        <w:rPr>
          <w:rStyle w:val="DZAppanyCharacter"/>
          <w:rFonts w:ascii="Garamond" w:eastAsia="Arial" w:hAnsi="Garamond" w:cs="Arial"/>
          <w:color w:val="000000" w:themeColor="text1"/>
        </w:rPr>
      </w:pPr>
    </w:p>
    <w:p w14:paraId="7390555B" w14:textId="54AA2E75" w:rsidR="00EF360D" w:rsidRPr="00EF360D" w:rsidRDefault="00EF360D" w:rsidP="00EF360D">
      <w:pPr>
        <w:pStyle w:val="DZAppany"/>
        <w:jc w:val="both"/>
        <w:rPr>
          <w:rStyle w:val="DZAppanyCharacter"/>
          <w:rFonts w:ascii="Garamond" w:eastAsia="Arial" w:hAnsi="Garamond" w:cs="Arial"/>
          <w:color w:val="000000" w:themeColor="text1"/>
        </w:rPr>
      </w:pPr>
      <w:r>
        <w:rPr>
          <w:rStyle w:val="DZAppanyCharacter"/>
          <w:rFonts w:ascii="Garamond" w:eastAsia="Arial" w:hAnsi="Garamond" w:cs="Arial"/>
          <w:color w:val="000000" w:themeColor="text1"/>
        </w:rPr>
        <w:t>L</w:t>
      </w:r>
      <w:r w:rsidRPr="00EF360D">
        <w:rPr>
          <w:rStyle w:val="DZAppanyCharacter"/>
          <w:rFonts w:ascii="Garamond" w:eastAsia="Arial" w:hAnsi="Garamond" w:cs="Arial"/>
          <w:color w:val="000000" w:themeColor="text1"/>
        </w:rPr>
        <w:t xml:space="preserve">'imprévision est </w:t>
      </w:r>
      <w:r>
        <w:rPr>
          <w:rStyle w:val="DZAppanyCharacter"/>
          <w:rFonts w:ascii="Garamond" w:eastAsia="Arial" w:hAnsi="Garamond" w:cs="Arial"/>
          <w:color w:val="000000" w:themeColor="text1"/>
        </w:rPr>
        <w:t xml:space="preserve">également subordonnée à la condition </w:t>
      </w:r>
      <w:r w:rsidRPr="00EF360D">
        <w:rPr>
          <w:rStyle w:val="DZAppanyCharacter"/>
          <w:rFonts w:ascii="Garamond" w:eastAsia="Arial" w:hAnsi="Garamond" w:cs="Arial"/>
          <w:color w:val="000000" w:themeColor="text1"/>
        </w:rPr>
        <w:t>cde l'onérosité excessive de l'exécution du contrat pour l'une des parties. Cela signifie qu'il ne s'agira pas pour la partie concernée de démontrer que l'exécution du contrat est simplement devenue difficile, elle devra en effet prouver que le bouleversement excessif dont elle se prévaut est exceptionnel.</w:t>
      </w:r>
    </w:p>
    <w:p w14:paraId="3C7C0ACA" w14:textId="7A0C86DE" w:rsidR="00EF360D" w:rsidRPr="00EF360D" w:rsidRDefault="00EF360D" w:rsidP="00EF360D">
      <w:pPr>
        <w:pStyle w:val="DZAppany"/>
        <w:jc w:val="both"/>
        <w:rPr>
          <w:rStyle w:val="DZAppanyCharacter"/>
          <w:rFonts w:ascii="Garamond" w:eastAsia="Arial" w:hAnsi="Garamond" w:cs="Arial"/>
          <w:b/>
          <w:bCs/>
          <w:color w:val="000000" w:themeColor="text1"/>
        </w:rPr>
      </w:pPr>
      <w:r w:rsidRPr="00EF360D">
        <w:rPr>
          <w:rStyle w:val="DZAppanyCharacter"/>
          <w:rFonts w:ascii="Garamond" w:eastAsia="Arial" w:hAnsi="Garamond" w:cs="Arial"/>
          <w:b/>
          <w:bCs/>
          <w:color w:val="000000" w:themeColor="text1"/>
        </w:rPr>
        <w:t>La partie qui s'estime victime d'une exécution contractuelle devenue excessivement onéreuse peut demander à son cocontractant une renégociation du contrat.</w:t>
      </w:r>
    </w:p>
    <w:p w14:paraId="6736172A" w14:textId="77777777" w:rsidR="00EF360D" w:rsidRDefault="00EF360D" w:rsidP="00EF360D">
      <w:pPr>
        <w:pStyle w:val="DZAppany"/>
        <w:jc w:val="both"/>
        <w:rPr>
          <w:rStyle w:val="DZAppanyCharacter"/>
          <w:rFonts w:ascii="Garamond" w:eastAsia="Arial" w:hAnsi="Garamond" w:cs="Arial"/>
          <w:color w:val="000000" w:themeColor="text1"/>
        </w:rPr>
      </w:pPr>
    </w:p>
    <w:p w14:paraId="684A6BED" w14:textId="21238292" w:rsidR="00EF360D" w:rsidRDefault="00EF360D" w:rsidP="00EF360D">
      <w:pPr>
        <w:pStyle w:val="DZAppany"/>
        <w:jc w:val="both"/>
        <w:rPr>
          <w:rStyle w:val="DZAppanyCharacter"/>
          <w:rFonts w:ascii="Garamond" w:eastAsia="Arial" w:hAnsi="Garamond" w:cs="Arial"/>
          <w:color w:val="000000" w:themeColor="text1"/>
        </w:rPr>
      </w:pPr>
      <w:r w:rsidRPr="00EF360D">
        <w:rPr>
          <w:rStyle w:val="DZAppanyCharacter"/>
          <w:rFonts w:ascii="Garamond" w:eastAsia="Arial" w:hAnsi="Garamond" w:cs="Arial"/>
          <w:color w:val="000000" w:themeColor="text1"/>
        </w:rPr>
        <w:t>Priorité est donnée à la renégociation du contrat entre les parties. Ce n'est qu'en cas d'échec que le juge pourra intervenir.</w:t>
      </w:r>
    </w:p>
    <w:p w14:paraId="6A54EC7C" w14:textId="77777777" w:rsidR="00EF360D" w:rsidRPr="00EF360D" w:rsidRDefault="00EF360D" w:rsidP="00EF360D">
      <w:pPr>
        <w:pStyle w:val="DZAppany"/>
        <w:jc w:val="both"/>
        <w:rPr>
          <w:rStyle w:val="DZAppanyCharacter"/>
          <w:rFonts w:ascii="Garamond" w:eastAsia="Arial" w:hAnsi="Garamond" w:cs="Arial"/>
          <w:color w:val="000000" w:themeColor="text1"/>
        </w:rPr>
      </w:pPr>
    </w:p>
    <w:p w14:paraId="0A1B5C69" w14:textId="57013BE5" w:rsidR="00EF360D" w:rsidRDefault="00EF360D" w:rsidP="00EF360D">
      <w:pPr>
        <w:pStyle w:val="DZAppany"/>
        <w:jc w:val="both"/>
        <w:rPr>
          <w:rStyle w:val="DZAppanyCharacter"/>
          <w:rFonts w:ascii="Garamond" w:eastAsia="Arial" w:hAnsi="Garamond" w:cs="Arial"/>
          <w:color w:val="000000" w:themeColor="text1"/>
        </w:rPr>
      </w:pPr>
      <w:r w:rsidRPr="00EF360D">
        <w:rPr>
          <w:rStyle w:val="DZAppanyCharacter"/>
          <w:rFonts w:ascii="Garamond" w:eastAsia="Arial" w:hAnsi="Garamond" w:cs="Arial"/>
          <w:color w:val="000000" w:themeColor="text1"/>
        </w:rPr>
        <w:t>En cas d'échec ou de refus de la renégociation du contrat, les parties peuvent convenir ensemble de sa résolution. Elles peuvent également saisir le juge afin de procéder à sa révision ou à son anéantissement.</w:t>
      </w:r>
    </w:p>
    <w:p w14:paraId="65639AC7" w14:textId="77777777" w:rsidR="00EF360D" w:rsidRPr="00EF360D" w:rsidRDefault="00EF360D" w:rsidP="00EF360D">
      <w:pPr>
        <w:pStyle w:val="DZAppany"/>
        <w:jc w:val="both"/>
        <w:rPr>
          <w:rStyle w:val="DZAppanyCharacter"/>
          <w:rFonts w:ascii="Garamond" w:eastAsia="Arial" w:hAnsi="Garamond" w:cs="Arial"/>
          <w:color w:val="000000" w:themeColor="text1"/>
        </w:rPr>
      </w:pPr>
    </w:p>
    <w:p w14:paraId="56B4DE8B" w14:textId="5C78880F" w:rsidR="00EF360D" w:rsidRDefault="00EF360D" w:rsidP="00EF360D">
      <w:pPr>
        <w:pStyle w:val="DZAppany"/>
        <w:spacing w:after="600"/>
        <w:jc w:val="both"/>
        <w:rPr>
          <w:rStyle w:val="DZAppanyCharacter"/>
          <w:rFonts w:ascii="Garamond" w:eastAsia="Arial" w:hAnsi="Garamond" w:cs="Arial"/>
          <w:color w:val="000000" w:themeColor="text1"/>
        </w:rPr>
      </w:pPr>
      <w:r w:rsidRPr="00EF360D">
        <w:rPr>
          <w:rStyle w:val="DZAppanyCharacter"/>
          <w:rFonts w:ascii="Garamond" w:eastAsia="Arial" w:hAnsi="Garamond" w:cs="Arial"/>
          <w:color w:val="000000" w:themeColor="text1"/>
        </w:rPr>
        <w:t>La théorie de l'imprévision est une dérogation à la force obligatoire du contrat dans la mesure où le juge peut désormais s'immiscer dans l'accord qui avait été prévu par les parties afin de le rééquilibrer.</w:t>
      </w:r>
    </w:p>
    <w:p w14:paraId="40E6B0EB" w14:textId="29B7BA3E" w:rsidR="00EF360D" w:rsidRDefault="00EF360D" w:rsidP="00EF360D">
      <w:pPr>
        <w:pStyle w:val="Paragraphedeliste"/>
        <w:numPr>
          <w:ilvl w:val="0"/>
          <w:numId w:val="1"/>
        </w:numPr>
        <w:jc w:val="both"/>
        <w:rPr>
          <w:rFonts w:ascii="Garamond" w:hAnsi="Garamond"/>
          <w:b/>
          <w:bCs/>
        </w:rPr>
      </w:pPr>
      <w:r w:rsidRPr="00EF360D">
        <w:rPr>
          <w:rFonts w:ascii="Garamond" w:hAnsi="Garamond"/>
          <w:b/>
          <w:bCs/>
        </w:rPr>
        <w:t>L</w:t>
      </w:r>
      <w:r>
        <w:rPr>
          <w:rFonts w:ascii="Garamond" w:hAnsi="Garamond"/>
          <w:b/>
          <w:bCs/>
        </w:rPr>
        <w:t>a prohibition des engagements perpétuels</w:t>
      </w:r>
      <w:r w:rsidR="0053590F">
        <w:rPr>
          <w:rFonts w:ascii="Garamond" w:hAnsi="Garamond"/>
          <w:b/>
          <w:bCs/>
        </w:rPr>
        <w:t> : l’impossible maintien du lien de subordination juridique</w:t>
      </w:r>
    </w:p>
    <w:p w14:paraId="6A2D7D02" w14:textId="5BCE4B18" w:rsidR="0053590F" w:rsidRDefault="0053590F" w:rsidP="0053590F">
      <w:pPr>
        <w:jc w:val="both"/>
        <w:rPr>
          <w:rFonts w:ascii="Garamond" w:hAnsi="Garamond"/>
          <w:b/>
          <w:bCs/>
        </w:rPr>
      </w:pPr>
    </w:p>
    <w:p w14:paraId="1423C6D7" w14:textId="3B8FE7E5" w:rsidR="0053590F" w:rsidRDefault="0053590F" w:rsidP="0053590F">
      <w:pPr>
        <w:jc w:val="both"/>
        <w:rPr>
          <w:rFonts w:ascii="Garamond" w:hAnsi="Garamond"/>
          <w:b/>
          <w:bCs/>
        </w:rPr>
      </w:pPr>
    </w:p>
    <w:p w14:paraId="37FF49C5" w14:textId="77777777" w:rsidR="0053590F" w:rsidRDefault="0053590F" w:rsidP="0053590F">
      <w:pPr>
        <w:jc w:val="both"/>
        <w:rPr>
          <w:rFonts w:ascii="Garamond" w:hAnsi="Garamond"/>
        </w:rPr>
      </w:pPr>
      <w:r>
        <w:rPr>
          <w:rFonts w:ascii="Garamond" w:hAnsi="Garamond"/>
        </w:rPr>
        <w:t>Pour qu’un contrat de travail existe, trois éléments essentiels doivent être réunis :</w:t>
      </w:r>
    </w:p>
    <w:p w14:paraId="3A2E82D6" w14:textId="255E24FC" w:rsidR="0053590F" w:rsidRDefault="0053590F" w:rsidP="0053590F">
      <w:pPr>
        <w:jc w:val="both"/>
        <w:rPr>
          <w:rFonts w:ascii="Garamond" w:hAnsi="Garamond"/>
        </w:rPr>
      </w:pPr>
    </w:p>
    <w:p w14:paraId="27BD97D6" w14:textId="53CC6849" w:rsidR="0053590F" w:rsidRDefault="0053590F" w:rsidP="0053590F">
      <w:pPr>
        <w:pStyle w:val="Paragraphedeliste"/>
        <w:numPr>
          <w:ilvl w:val="0"/>
          <w:numId w:val="3"/>
        </w:numPr>
        <w:jc w:val="both"/>
        <w:rPr>
          <w:rFonts w:ascii="Garamond" w:hAnsi="Garamond"/>
        </w:rPr>
      </w:pPr>
      <w:r>
        <w:rPr>
          <w:rFonts w:ascii="Garamond" w:hAnsi="Garamond"/>
        </w:rPr>
        <w:t>Une prestation de travail réalisée par l’employé,</w:t>
      </w:r>
    </w:p>
    <w:p w14:paraId="63C99055" w14:textId="4A593210" w:rsidR="0053590F" w:rsidRDefault="0053590F" w:rsidP="0053590F">
      <w:pPr>
        <w:pStyle w:val="Paragraphedeliste"/>
        <w:numPr>
          <w:ilvl w:val="0"/>
          <w:numId w:val="3"/>
        </w:numPr>
        <w:jc w:val="both"/>
        <w:rPr>
          <w:rFonts w:ascii="Garamond" w:hAnsi="Garamond"/>
        </w:rPr>
      </w:pPr>
      <w:r>
        <w:rPr>
          <w:rFonts w:ascii="Garamond" w:hAnsi="Garamond"/>
        </w:rPr>
        <w:t>Une rémunération versée par l’employeur,</w:t>
      </w:r>
    </w:p>
    <w:p w14:paraId="5AE268D3" w14:textId="52D546FC" w:rsidR="0053590F" w:rsidRDefault="0053590F" w:rsidP="0053590F">
      <w:pPr>
        <w:pStyle w:val="Paragraphedeliste"/>
        <w:numPr>
          <w:ilvl w:val="0"/>
          <w:numId w:val="3"/>
        </w:numPr>
        <w:jc w:val="both"/>
        <w:rPr>
          <w:rFonts w:ascii="Garamond" w:hAnsi="Garamond"/>
        </w:rPr>
      </w:pPr>
      <w:r>
        <w:rPr>
          <w:rFonts w:ascii="Garamond" w:hAnsi="Garamond"/>
        </w:rPr>
        <w:t>Un lien de subordination entre l’employeur et l’employé</w:t>
      </w:r>
    </w:p>
    <w:p w14:paraId="16827373" w14:textId="4FF8222D" w:rsidR="0053590F" w:rsidRDefault="0053590F" w:rsidP="0053590F">
      <w:pPr>
        <w:jc w:val="both"/>
        <w:rPr>
          <w:rFonts w:ascii="Garamond" w:hAnsi="Garamond"/>
        </w:rPr>
      </w:pPr>
    </w:p>
    <w:p w14:paraId="7D43FAA6" w14:textId="33F3BE7F" w:rsidR="0053590F" w:rsidRDefault="0053590F" w:rsidP="0053590F">
      <w:pPr>
        <w:jc w:val="both"/>
        <w:rPr>
          <w:rFonts w:ascii="Garamond" w:hAnsi="Garamond"/>
        </w:rPr>
      </w:pPr>
    </w:p>
    <w:p w14:paraId="28DFE248" w14:textId="64DE4749" w:rsidR="0053590F" w:rsidRPr="0053590F" w:rsidRDefault="0053590F" w:rsidP="0053590F">
      <w:pPr>
        <w:jc w:val="both"/>
        <w:rPr>
          <w:rFonts w:ascii="Garamond" w:hAnsi="Garamond"/>
        </w:rPr>
      </w:pPr>
      <w:r>
        <w:rPr>
          <w:rFonts w:ascii="Garamond" w:hAnsi="Garamond"/>
        </w:rPr>
        <w:t>Depuis leur suspension les soignants non vaccinés contre la COVID 19 ne délivrent plus de prestation de travail et ne perçoivent plus de rémunération, pourtant le lien de subordination juridique demeure.</w:t>
      </w:r>
    </w:p>
    <w:p w14:paraId="45D6009B" w14:textId="3DE203D0" w:rsidR="0053590F" w:rsidRDefault="0053590F" w:rsidP="0053590F">
      <w:pPr>
        <w:pStyle w:val="DZAppany"/>
        <w:jc w:val="both"/>
        <w:rPr>
          <w:rStyle w:val="DZAppanyCharacter"/>
          <w:rFonts w:ascii="Garamond" w:eastAsia="Arial" w:hAnsi="Garamond" w:cs="Arial"/>
          <w:color w:val="000000" w:themeColor="text1"/>
        </w:rPr>
      </w:pPr>
    </w:p>
    <w:p w14:paraId="377CEC64" w14:textId="481C195B" w:rsidR="0053590F" w:rsidRDefault="0053590F" w:rsidP="0053590F">
      <w:pPr>
        <w:pStyle w:val="DZAppany"/>
        <w:jc w:val="both"/>
        <w:rPr>
          <w:rStyle w:val="DZAppanyCharacter"/>
          <w:rFonts w:ascii="Garamond" w:eastAsia="Arial" w:hAnsi="Garamond" w:cs="Arial"/>
          <w:color w:val="000000" w:themeColor="text1"/>
        </w:rPr>
      </w:pPr>
      <w:r>
        <w:rPr>
          <w:rStyle w:val="DZAppanyCharacter"/>
          <w:rFonts w:ascii="Garamond" w:eastAsia="Arial" w:hAnsi="Garamond" w:cs="Arial"/>
          <w:color w:val="000000" w:themeColor="text1"/>
        </w:rPr>
        <w:t>La suspension des soignants non vaccinés contre la COVID devait n’être que temporaire, pourtant elle dure depuis le mois d’août 2021, et alors que :</w:t>
      </w:r>
    </w:p>
    <w:p w14:paraId="7905A65A" w14:textId="77777777" w:rsidR="0028165F" w:rsidRDefault="0028165F" w:rsidP="0053590F">
      <w:pPr>
        <w:pStyle w:val="DZAppany"/>
        <w:jc w:val="both"/>
        <w:rPr>
          <w:rStyle w:val="DZAppanyCharacter"/>
          <w:rFonts w:ascii="Garamond" w:eastAsia="Arial" w:hAnsi="Garamond" w:cs="Arial"/>
          <w:color w:val="000000" w:themeColor="text1"/>
        </w:rPr>
      </w:pPr>
    </w:p>
    <w:p w14:paraId="73B2DF65" w14:textId="77777777" w:rsidR="0053590F" w:rsidRDefault="0053590F" w:rsidP="0053590F">
      <w:pPr>
        <w:pStyle w:val="DZAppany"/>
        <w:jc w:val="both"/>
        <w:rPr>
          <w:rStyle w:val="DZAppanyCharacter"/>
          <w:rFonts w:ascii="Garamond" w:eastAsia="Arial" w:hAnsi="Garamond" w:cs="Arial"/>
          <w:color w:val="000000" w:themeColor="text1"/>
        </w:rPr>
      </w:pPr>
    </w:p>
    <w:p w14:paraId="4467B8C7" w14:textId="1A3B2C52" w:rsidR="0028165F" w:rsidRPr="0028165F" w:rsidRDefault="0028165F" w:rsidP="0028165F">
      <w:pPr>
        <w:pStyle w:val="Paragraphedeliste"/>
        <w:numPr>
          <w:ilvl w:val="0"/>
          <w:numId w:val="5"/>
        </w:numPr>
        <w:ind w:right="559"/>
        <w:jc w:val="both"/>
        <w:rPr>
          <w:rStyle w:val="Aucun"/>
          <w:rFonts w:ascii="Garamond" w:eastAsia="Garamond" w:hAnsi="Garamond" w:cs="Garamond"/>
          <w:b/>
          <w:bCs/>
          <w:color w:val="000000"/>
          <w:u w:color="000000"/>
          <w:bdr w:val="nil"/>
        </w:rPr>
      </w:pPr>
      <w:r>
        <w:rPr>
          <w:rStyle w:val="DZAppanyCharacter"/>
          <w:rFonts w:ascii="Garamond" w:eastAsia="Arial" w:hAnsi="Garamond" w:cs="Arial"/>
          <w:color w:val="000000" w:themeColor="text1"/>
          <w:lang w:eastAsia="fr-FR"/>
        </w:rPr>
        <w:t>Selon l</w:t>
      </w:r>
      <w:r w:rsidRPr="0028165F">
        <w:rPr>
          <w:rStyle w:val="DZAppanyCharacter"/>
          <w:rFonts w:ascii="Garamond" w:eastAsia="Arial" w:hAnsi="Garamond" w:cs="Arial"/>
          <w:color w:val="000000" w:themeColor="text1"/>
          <w:lang w:eastAsia="fr-FR"/>
        </w:rPr>
        <w:t>’OMS</w:t>
      </w:r>
      <w:r>
        <w:rPr>
          <w:rStyle w:val="DZAppanyCharacter"/>
          <w:rFonts w:ascii="Garamond" w:eastAsia="Arial" w:hAnsi="Garamond" w:cs="Arial"/>
          <w:color w:val="000000" w:themeColor="text1"/>
          <w:lang w:eastAsia="fr-FR"/>
        </w:rPr>
        <w:t xml:space="preserve"> à la date du 13 octobre 2022 : « </w:t>
      </w:r>
      <w:r w:rsidRPr="0028165F">
        <w:rPr>
          <w:rStyle w:val="Aucun"/>
          <w:rFonts w:ascii="Garamond" w:eastAsia="Garamond" w:hAnsi="Garamond" w:cs="Garamond"/>
          <w:color w:val="000000"/>
          <w:u w:color="000000"/>
          <w:bdr w:val="nil"/>
        </w:rPr>
        <w:t>La situation n’a jamais été aussi favorable pour mettre un terme à la COVID-19 en tant qu’urgence sanitaire mondiale</w:t>
      </w:r>
      <w:r>
        <w:rPr>
          <w:rStyle w:val="Aucun"/>
          <w:rFonts w:ascii="Garamond" w:eastAsia="Garamond" w:hAnsi="Garamond" w:cs="Garamond"/>
          <w:color w:val="000000"/>
          <w:u w:color="000000"/>
          <w:bdr w:val="nil"/>
        </w:rPr>
        <w:t xml:space="preserve"> » </w:t>
      </w:r>
      <w:r>
        <w:rPr>
          <w:rStyle w:val="Appelnotedebasdep"/>
          <w:rFonts w:ascii="Garamond" w:eastAsia="Garamond" w:hAnsi="Garamond" w:cs="Garamond"/>
          <w:color w:val="000000"/>
          <w:u w:color="000000"/>
          <w:bdr w:val="nil"/>
        </w:rPr>
        <w:footnoteReference w:id="1"/>
      </w:r>
      <w:r>
        <w:rPr>
          <w:rStyle w:val="Aucun"/>
          <w:rFonts w:ascii="Garamond" w:eastAsia="Garamond" w:hAnsi="Garamond" w:cs="Garamond"/>
          <w:color w:val="000000"/>
          <w:u w:color="000000"/>
          <w:bdr w:val="nil"/>
        </w:rPr>
        <w:t xml:space="preserve"> </w:t>
      </w:r>
    </w:p>
    <w:p w14:paraId="6B200B18" w14:textId="77777777" w:rsidR="0028165F" w:rsidRPr="0028165F" w:rsidRDefault="0028165F" w:rsidP="0028165F">
      <w:pPr>
        <w:pStyle w:val="Paragraphedeliste"/>
        <w:ind w:left="1287" w:right="559"/>
        <w:jc w:val="both"/>
        <w:rPr>
          <w:rStyle w:val="Aucun"/>
          <w:rFonts w:ascii="Garamond" w:eastAsia="Garamond" w:hAnsi="Garamond" w:cs="Garamond"/>
          <w:b/>
          <w:bCs/>
          <w:color w:val="000000"/>
          <w:u w:color="000000"/>
          <w:bdr w:val="nil"/>
        </w:rPr>
      </w:pPr>
    </w:p>
    <w:p w14:paraId="699BD4AF" w14:textId="518FAFAF" w:rsidR="0028165F" w:rsidRPr="0028165F" w:rsidRDefault="0028165F" w:rsidP="0028165F">
      <w:pPr>
        <w:pStyle w:val="Paragraphedeliste"/>
        <w:numPr>
          <w:ilvl w:val="0"/>
          <w:numId w:val="5"/>
        </w:numPr>
        <w:ind w:right="559"/>
        <w:jc w:val="both"/>
        <w:rPr>
          <w:rStyle w:val="Aucun"/>
          <w:rFonts w:ascii="Garamond" w:eastAsia="Garamond" w:hAnsi="Garamond" w:cs="Garamond"/>
          <w:color w:val="000000"/>
          <w:u w:color="000000"/>
          <w:bdr w:val="nil"/>
        </w:rPr>
      </w:pPr>
      <w:r w:rsidRPr="0028165F">
        <w:rPr>
          <w:rStyle w:val="Aucun"/>
          <w:rFonts w:ascii="Garamond" w:eastAsia="Garamond" w:hAnsi="Garamond" w:cs="Garamond"/>
          <w:color w:val="000000"/>
          <w:u w:color="000000"/>
          <w:bdr w:val="nil"/>
        </w:rPr>
        <w:t xml:space="preserve">Que les vaccins contre la COVID 19 n’empêchent pas la transmission </w:t>
      </w:r>
      <w:r>
        <w:rPr>
          <w:rStyle w:val="Aucun"/>
          <w:rFonts w:ascii="Garamond" w:eastAsia="Garamond" w:hAnsi="Garamond" w:cs="Garamond"/>
          <w:color w:val="000000"/>
          <w:u w:color="000000"/>
          <w:bdr w:val="nil"/>
        </w:rPr>
        <w:t>de cette maladie et que la base de pharmacovigilance européenne (</w:t>
      </w:r>
      <w:proofErr w:type="spellStart"/>
      <w:r>
        <w:rPr>
          <w:rStyle w:val="Aucun"/>
          <w:rFonts w:ascii="Garamond" w:eastAsia="Garamond" w:hAnsi="Garamond" w:cs="Garamond"/>
          <w:color w:val="000000"/>
          <w:u w:color="000000"/>
          <w:bdr w:val="nil"/>
        </w:rPr>
        <w:t>Eudravigilance</w:t>
      </w:r>
      <w:proofErr w:type="spellEnd"/>
      <w:r>
        <w:rPr>
          <w:rStyle w:val="Aucun"/>
          <w:rFonts w:ascii="Garamond" w:eastAsia="Garamond" w:hAnsi="Garamond" w:cs="Garamond"/>
          <w:color w:val="000000"/>
          <w:u w:color="000000"/>
          <w:bdr w:val="nil"/>
        </w:rPr>
        <w:t xml:space="preserve">) </w:t>
      </w:r>
      <w:r>
        <w:rPr>
          <w:rStyle w:val="Aucun"/>
          <w:rFonts w:ascii="Garamond" w:eastAsia="Garamond" w:hAnsi="Garamond" w:cs="Garamond"/>
          <w:color w:val="000000"/>
          <w:u w:color="000000"/>
          <w:bdr w:val="nil"/>
        </w:rPr>
        <w:lastRenderedPageBreak/>
        <w:t>répertorie à la date des présentes plus de 3,5 millions d’effets indésirables dus à cette vaccination dont 25% graves soit 1,8 millions de cas dont 45 000 décès,</w:t>
      </w:r>
    </w:p>
    <w:p w14:paraId="3DFDB67C" w14:textId="610641ED" w:rsidR="004E0319" w:rsidRDefault="004E0319"/>
    <w:p w14:paraId="16B403EB" w14:textId="466AAB79" w:rsidR="004E0319" w:rsidRDefault="00EE6F98" w:rsidP="00EE6F98">
      <w:pPr>
        <w:jc w:val="both"/>
        <w:rPr>
          <w:rFonts w:ascii="Garamond" w:hAnsi="Garamond"/>
        </w:rPr>
      </w:pPr>
      <w:r>
        <w:rPr>
          <w:rFonts w:ascii="Garamond" w:hAnsi="Garamond"/>
        </w:rPr>
        <w:t>Dans ces conditions, le maintien d’un lien de subordination juridique n’a pas de sens et correspond à du servage.</w:t>
      </w:r>
    </w:p>
    <w:p w14:paraId="05411A5A" w14:textId="01EABCCE" w:rsidR="00EE6F98" w:rsidRDefault="00EE6F98" w:rsidP="00EE6F98">
      <w:pPr>
        <w:jc w:val="both"/>
        <w:rPr>
          <w:rFonts w:ascii="Garamond" w:hAnsi="Garamond"/>
        </w:rPr>
      </w:pPr>
    </w:p>
    <w:p w14:paraId="2559E6EF" w14:textId="04FD143E" w:rsidR="00EE6F98" w:rsidRDefault="00EE6F98" w:rsidP="00EE6F98">
      <w:pPr>
        <w:jc w:val="both"/>
        <w:rPr>
          <w:rFonts w:ascii="Garamond" w:hAnsi="Garamond"/>
        </w:rPr>
      </w:pPr>
    </w:p>
    <w:p w14:paraId="6B48B7B3" w14:textId="409DE448" w:rsidR="00EE6F98" w:rsidRDefault="00EE6F98" w:rsidP="00EE6F98">
      <w:pPr>
        <w:jc w:val="both"/>
        <w:rPr>
          <w:rFonts w:ascii="Garamond" w:hAnsi="Garamond"/>
        </w:rPr>
      </w:pPr>
      <w:r>
        <w:rPr>
          <w:rFonts w:ascii="Garamond" w:hAnsi="Garamond"/>
        </w:rPr>
        <w:t>Or, différents textes interdisent cette situation dont notamment :</w:t>
      </w:r>
    </w:p>
    <w:p w14:paraId="044B6B43" w14:textId="5C5E994B" w:rsidR="00EE6F98" w:rsidRDefault="00EE6F98" w:rsidP="00EE6F98">
      <w:pPr>
        <w:jc w:val="both"/>
        <w:rPr>
          <w:rFonts w:ascii="Garamond" w:hAnsi="Garamond"/>
        </w:rPr>
      </w:pPr>
    </w:p>
    <w:p w14:paraId="342BB5AD" w14:textId="1C494985" w:rsidR="00EE6F98" w:rsidRDefault="00EE6F98" w:rsidP="00EE6F98">
      <w:pPr>
        <w:pStyle w:val="Paragraphedeliste"/>
        <w:numPr>
          <w:ilvl w:val="0"/>
          <w:numId w:val="7"/>
        </w:numPr>
        <w:jc w:val="both"/>
        <w:rPr>
          <w:rFonts w:ascii="Garamond" w:hAnsi="Garamond"/>
        </w:rPr>
      </w:pPr>
      <w:r w:rsidRPr="00EE6F98">
        <w:rPr>
          <w:rFonts w:ascii="Garamond" w:hAnsi="Garamond"/>
        </w:rPr>
        <w:t>L’article 5 de la Charte des droit fondamentaux de l’Union Européenne : « Nul ne peut être tenu en esclavage ni en servitude</w:t>
      </w:r>
      <w:r>
        <w:rPr>
          <w:rFonts w:ascii="Garamond" w:hAnsi="Garamond"/>
        </w:rPr>
        <w:t> »,</w:t>
      </w:r>
    </w:p>
    <w:p w14:paraId="42963F12" w14:textId="77777777" w:rsidR="00EE6F98" w:rsidRDefault="00EE6F98" w:rsidP="00EE6F98">
      <w:pPr>
        <w:pStyle w:val="Paragraphedeliste"/>
        <w:jc w:val="both"/>
        <w:rPr>
          <w:rFonts w:ascii="Garamond" w:hAnsi="Garamond"/>
        </w:rPr>
      </w:pPr>
    </w:p>
    <w:p w14:paraId="133CBDC7" w14:textId="326D6132" w:rsidR="00EE6F98" w:rsidRPr="00EE6F98" w:rsidRDefault="00EE6F98" w:rsidP="00EE6F98">
      <w:pPr>
        <w:pStyle w:val="Paragraphedeliste"/>
        <w:numPr>
          <w:ilvl w:val="0"/>
          <w:numId w:val="7"/>
        </w:numPr>
        <w:jc w:val="both"/>
        <w:rPr>
          <w:rFonts w:ascii="Garamond" w:hAnsi="Garamond"/>
        </w:rPr>
      </w:pPr>
      <w:r>
        <w:rPr>
          <w:rFonts w:ascii="Garamond" w:hAnsi="Garamond"/>
        </w:rPr>
        <w:t>L’article 1210 du Code Civil : « </w:t>
      </w:r>
      <w:r w:rsidRPr="00EE6F98">
        <w:rPr>
          <w:rFonts w:ascii="Garamond" w:hAnsi="Garamond"/>
        </w:rPr>
        <w:t>Les engagements perpétuels sont prohibés »</w:t>
      </w:r>
    </w:p>
    <w:p w14:paraId="011E3B33" w14:textId="7FD1BA7D" w:rsidR="00EE6F98" w:rsidRDefault="00EE6F98" w:rsidP="00EE6F98">
      <w:pPr>
        <w:jc w:val="both"/>
        <w:rPr>
          <w:rFonts w:ascii="Garamond" w:hAnsi="Garamond"/>
        </w:rPr>
      </w:pPr>
    </w:p>
    <w:p w14:paraId="727CB541" w14:textId="61699BF0" w:rsidR="00EE6F98" w:rsidRDefault="00EE6F98">
      <w:pPr>
        <w:rPr>
          <w:rFonts w:ascii="Garamond" w:hAnsi="Garamond"/>
        </w:rPr>
      </w:pPr>
    </w:p>
    <w:p w14:paraId="2B902B44" w14:textId="3BBF555A" w:rsidR="00EE6F98" w:rsidRDefault="00EE6F98" w:rsidP="00EE6F98">
      <w:pPr>
        <w:jc w:val="both"/>
        <w:rPr>
          <w:rFonts w:ascii="Garamond" w:hAnsi="Garamond"/>
        </w:rPr>
      </w:pPr>
      <w:r>
        <w:rPr>
          <w:rFonts w:ascii="Garamond" w:hAnsi="Garamond"/>
        </w:rPr>
        <w:t xml:space="preserve">Ainsi une suspension ne peut être « perpétuelle » et dans une telle hypothèse il convient de demander à l’employeur de renégocier le contrat de travail ou d’y mettre fin par soit une rupture conventionnelle soit un licenciement. </w:t>
      </w:r>
      <w:r w:rsidR="00FD6D0E">
        <w:rPr>
          <w:rFonts w:ascii="Garamond" w:hAnsi="Garamond"/>
        </w:rPr>
        <w:t>A défaut d’accord de l’employeur, le juge peut être saisi en référé, avec la mission d’imposer une de ces deux solutions.</w:t>
      </w:r>
    </w:p>
    <w:p w14:paraId="14EAC964" w14:textId="7B28ECCD" w:rsidR="00FD6D0E" w:rsidRDefault="00FD6D0E"/>
    <w:p w14:paraId="6C1164B6" w14:textId="77777777" w:rsidR="00FD6D0E" w:rsidRDefault="00FD6D0E"/>
    <w:p w14:paraId="3C0D052A" w14:textId="1DE95395" w:rsidR="00FD6D0E" w:rsidRPr="00FD6D0E" w:rsidRDefault="00FD6D0E" w:rsidP="00FD6D0E">
      <w:pPr>
        <w:pStyle w:val="Paragraphedeliste"/>
        <w:numPr>
          <w:ilvl w:val="0"/>
          <w:numId w:val="1"/>
        </w:numPr>
        <w:jc w:val="both"/>
        <w:rPr>
          <w:rFonts w:ascii="Garamond" w:hAnsi="Garamond"/>
          <w:b/>
          <w:bCs/>
        </w:rPr>
      </w:pPr>
      <w:r>
        <w:rPr>
          <w:rFonts w:ascii="Garamond" w:hAnsi="Garamond"/>
          <w:b/>
          <w:bCs/>
        </w:rPr>
        <w:t>Application</w:t>
      </w:r>
      <w:r w:rsidR="007E7678">
        <w:rPr>
          <w:rFonts w:ascii="Garamond" w:hAnsi="Garamond"/>
          <w:b/>
          <w:bCs/>
        </w:rPr>
        <w:t>s</w:t>
      </w:r>
      <w:r>
        <w:rPr>
          <w:rFonts w:ascii="Garamond" w:hAnsi="Garamond"/>
          <w:b/>
          <w:bCs/>
        </w:rPr>
        <w:t xml:space="preserve"> pratique</w:t>
      </w:r>
      <w:r w:rsidR="007E7678">
        <w:rPr>
          <w:rFonts w:ascii="Garamond" w:hAnsi="Garamond"/>
          <w:b/>
          <w:bCs/>
        </w:rPr>
        <w:t>s</w:t>
      </w:r>
    </w:p>
    <w:p w14:paraId="5BE02641" w14:textId="73B64AA6" w:rsidR="003018E5" w:rsidRDefault="003018E5"/>
    <w:p w14:paraId="335AC38F" w14:textId="72519E37" w:rsidR="00FD6D0E" w:rsidRDefault="00FD6D0E"/>
    <w:p w14:paraId="402F86D0" w14:textId="6502ED86" w:rsidR="00FD6D0E" w:rsidRPr="00FD6D0E" w:rsidRDefault="00FD6D0E" w:rsidP="00FD6D0E">
      <w:pPr>
        <w:pStyle w:val="Paragraphedeliste"/>
        <w:numPr>
          <w:ilvl w:val="1"/>
          <w:numId w:val="1"/>
        </w:numPr>
        <w:rPr>
          <w:rFonts w:ascii="Garamond" w:hAnsi="Garamond"/>
          <w:b/>
          <w:bCs/>
        </w:rPr>
      </w:pPr>
      <w:proofErr w:type="spellStart"/>
      <w:r w:rsidRPr="00FD6D0E">
        <w:rPr>
          <w:rFonts w:ascii="Garamond" w:hAnsi="Garamond"/>
          <w:b/>
          <w:bCs/>
        </w:rPr>
        <w:t>Ecrire</w:t>
      </w:r>
      <w:proofErr w:type="spellEnd"/>
      <w:r w:rsidRPr="00FD6D0E">
        <w:rPr>
          <w:rFonts w:ascii="Garamond" w:hAnsi="Garamond"/>
          <w:b/>
          <w:bCs/>
        </w:rPr>
        <w:t xml:space="preserve"> à son employeur pour demander la renégociation du contrat de</w:t>
      </w:r>
      <w:r>
        <w:rPr>
          <w:rFonts w:ascii="Garamond" w:hAnsi="Garamond"/>
          <w:b/>
          <w:bCs/>
        </w:rPr>
        <w:t xml:space="preserve"> travail</w:t>
      </w:r>
      <w:r w:rsidRPr="00FD6D0E">
        <w:rPr>
          <w:rFonts w:ascii="Garamond" w:hAnsi="Garamond"/>
          <w:b/>
          <w:bCs/>
        </w:rPr>
        <w:t xml:space="preserve"> </w:t>
      </w:r>
      <w:r>
        <w:rPr>
          <w:rFonts w:ascii="Garamond" w:hAnsi="Garamond"/>
          <w:b/>
          <w:bCs/>
        </w:rPr>
        <w:t>par lettre recommandée avec accusé réception</w:t>
      </w:r>
    </w:p>
    <w:p w14:paraId="372D23FC" w14:textId="240CEB66" w:rsidR="00FD6D0E" w:rsidRPr="00FD6D0E" w:rsidRDefault="00FD6D0E" w:rsidP="00FD6D0E">
      <w:pPr>
        <w:ind w:left="1416"/>
        <w:rPr>
          <w:rFonts w:ascii="Garamond" w:hAnsi="Garamond"/>
          <w:b/>
          <w:bCs/>
        </w:rPr>
      </w:pPr>
    </w:p>
    <w:p w14:paraId="1C8349E3" w14:textId="77777777" w:rsidR="00FD6D0E" w:rsidRDefault="00FD6D0E"/>
    <w:p w14:paraId="5413D3B3" w14:textId="63F8A461" w:rsidR="00FD6D0E" w:rsidRDefault="00FA3CE0" w:rsidP="00FA3CE0">
      <w:pPr>
        <w:tabs>
          <w:tab w:val="left" w:pos="5255"/>
        </w:tabs>
        <w:jc w:val="both"/>
        <w:rPr>
          <w:rFonts w:ascii="Garamond" w:hAnsi="Garamond"/>
        </w:rPr>
      </w:pPr>
      <w:r>
        <w:rPr>
          <w:rFonts w:ascii="Garamond" w:hAnsi="Garamond"/>
        </w:rPr>
        <w:t>Il convient en premier d’adresser une lettre à votre employeur dans les termes suivants :</w:t>
      </w:r>
    </w:p>
    <w:p w14:paraId="710C8B15" w14:textId="77777777" w:rsidR="00FD6D0E" w:rsidRDefault="00FD6D0E" w:rsidP="003018E5">
      <w:pPr>
        <w:tabs>
          <w:tab w:val="left" w:pos="5255"/>
        </w:tabs>
        <w:ind w:left="567"/>
        <w:jc w:val="both"/>
        <w:rPr>
          <w:rFonts w:ascii="Garamond" w:hAnsi="Garamond"/>
        </w:rPr>
      </w:pPr>
    </w:p>
    <w:p w14:paraId="106E0A43" w14:textId="1EB58D78" w:rsidR="003018E5" w:rsidRDefault="00FA3CE0" w:rsidP="003018E5">
      <w:pPr>
        <w:tabs>
          <w:tab w:val="left" w:pos="5255"/>
        </w:tabs>
        <w:ind w:left="567"/>
        <w:jc w:val="both"/>
        <w:rPr>
          <w:rFonts w:ascii="Garamond" w:hAnsi="Garamond"/>
        </w:rPr>
      </w:pPr>
      <w:r>
        <w:rPr>
          <w:rFonts w:ascii="Garamond" w:hAnsi="Garamond"/>
        </w:rPr>
        <w:t>« </w:t>
      </w:r>
      <w:r w:rsidR="003018E5">
        <w:rPr>
          <w:rFonts w:ascii="Garamond" w:hAnsi="Garamond"/>
        </w:rPr>
        <w:t>Madame ou Monsieur,</w:t>
      </w:r>
    </w:p>
    <w:p w14:paraId="688C6C54" w14:textId="77777777" w:rsidR="003018E5" w:rsidRDefault="003018E5" w:rsidP="003018E5">
      <w:pPr>
        <w:tabs>
          <w:tab w:val="left" w:pos="5255"/>
        </w:tabs>
        <w:jc w:val="both"/>
        <w:rPr>
          <w:rFonts w:ascii="Garamond" w:hAnsi="Garamond"/>
        </w:rPr>
      </w:pPr>
    </w:p>
    <w:p w14:paraId="6E24B0FF" w14:textId="0C9140D6" w:rsidR="003018E5" w:rsidRDefault="00FD6D0E" w:rsidP="003018E5">
      <w:pPr>
        <w:tabs>
          <w:tab w:val="left" w:pos="5255"/>
        </w:tabs>
        <w:jc w:val="both"/>
        <w:rPr>
          <w:rFonts w:ascii="Garamond" w:hAnsi="Garamond"/>
          <w:bCs/>
        </w:rPr>
      </w:pPr>
      <w:r>
        <w:rPr>
          <w:rFonts w:ascii="Garamond" w:hAnsi="Garamond"/>
        </w:rPr>
        <w:t xml:space="preserve">J’ai </w:t>
      </w:r>
      <w:r w:rsidR="003018E5" w:rsidRPr="00212569">
        <w:rPr>
          <w:rFonts w:ascii="Garamond" w:hAnsi="Garamond"/>
          <w:bCs/>
        </w:rPr>
        <w:t xml:space="preserve">exercé la profession de XXX dans votre établissement du XXX au XXX, date à laquelle </w:t>
      </w:r>
      <w:r>
        <w:rPr>
          <w:rFonts w:ascii="Garamond" w:hAnsi="Garamond"/>
          <w:bCs/>
        </w:rPr>
        <w:t>j’ai été suspendu</w:t>
      </w:r>
      <w:r w:rsidR="003018E5">
        <w:rPr>
          <w:rFonts w:ascii="Garamond" w:hAnsi="Garamond"/>
          <w:bCs/>
        </w:rPr>
        <w:t xml:space="preserve"> </w:t>
      </w:r>
      <w:r>
        <w:rPr>
          <w:rFonts w:ascii="Garamond" w:hAnsi="Garamond"/>
          <w:bCs/>
        </w:rPr>
        <w:t xml:space="preserve">de mes fonctions du </w:t>
      </w:r>
      <w:r w:rsidR="003018E5" w:rsidRPr="00212569">
        <w:rPr>
          <w:rFonts w:ascii="Garamond" w:hAnsi="Garamond"/>
          <w:bCs/>
        </w:rPr>
        <w:t xml:space="preserve">fait de </w:t>
      </w:r>
      <w:r>
        <w:rPr>
          <w:rFonts w:ascii="Garamond" w:hAnsi="Garamond"/>
          <w:bCs/>
        </w:rPr>
        <w:t>ma</w:t>
      </w:r>
      <w:r w:rsidR="003018E5" w:rsidRPr="00212569">
        <w:rPr>
          <w:rFonts w:ascii="Garamond" w:hAnsi="Garamond"/>
          <w:bCs/>
        </w:rPr>
        <w:t xml:space="preserve"> non-vaccination contre la COVID 19. </w:t>
      </w:r>
      <w:r w:rsidR="003018E5" w:rsidRPr="00212569">
        <w:rPr>
          <w:rFonts w:ascii="Garamond" w:hAnsi="Garamond"/>
          <w:bCs/>
        </w:rPr>
        <w:tab/>
      </w:r>
    </w:p>
    <w:p w14:paraId="3B71036C" w14:textId="799D0A1E" w:rsidR="00FD6D0E" w:rsidRDefault="00FD6D0E" w:rsidP="003018E5">
      <w:pPr>
        <w:tabs>
          <w:tab w:val="left" w:pos="5255"/>
        </w:tabs>
        <w:jc w:val="both"/>
        <w:rPr>
          <w:rFonts w:ascii="Garamond" w:hAnsi="Garamond"/>
          <w:bCs/>
        </w:rPr>
      </w:pPr>
    </w:p>
    <w:p w14:paraId="189A1078" w14:textId="3C5F0CB0" w:rsidR="00FD6D0E" w:rsidRPr="00FD6D0E" w:rsidRDefault="00FD6D0E" w:rsidP="003018E5">
      <w:pPr>
        <w:tabs>
          <w:tab w:val="left" w:pos="5255"/>
        </w:tabs>
        <w:jc w:val="both"/>
        <w:rPr>
          <w:rFonts w:ascii="Garamond" w:hAnsi="Garamond"/>
          <w:color w:val="FF0000"/>
        </w:rPr>
      </w:pPr>
      <w:proofErr w:type="spellStart"/>
      <w:r w:rsidRPr="00FD6D0E">
        <w:rPr>
          <w:rFonts w:ascii="Garamond" w:hAnsi="Garamond"/>
          <w:bCs/>
          <w:color w:val="FF0000"/>
        </w:rPr>
        <w:t>Add</w:t>
      </w:r>
      <w:proofErr w:type="spellEnd"/>
      <w:r w:rsidRPr="00FD6D0E">
        <w:rPr>
          <w:rFonts w:ascii="Garamond" w:hAnsi="Garamond"/>
          <w:bCs/>
          <w:color w:val="FF0000"/>
        </w:rPr>
        <w:t> : pour les personnes ayant subi des effets secondaires ajouter : Je vous indique que j’ai réalisé XX injections de vaccin contre la COVID 19 et qu’aujourd’hui je souffre d’effets secondaires (les lister) raison pour laquelle je n’ai pas fait d’injections supplémentaires.</w:t>
      </w:r>
    </w:p>
    <w:p w14:paraId="10A728B7" w14:textId="77777777" w:rsidR="003018E5" w:rsidRDefault="003018E5" w:rsidP="003018E5">
      <w:pPr>
        <w:tabs>
          <w:tab w:val="left" w:pos="5255"/>
        </w:tabs>
        <w:jc w:val="both"/>
        <w:rPr>
          <w:rFonts w:ascii="Garamond" w:hAnsi="Garamond"/>
          <w:bCs/>
        </w:rPr>
      </w:pPr>
    </w:p>
    <w:p w14:paraId="77D1B48B" w14:textId="3942B46D" w:rsidR="003018E5" w:rsidRDefault="003018E5" w:rsidP="003018E5">
      <w:pPr>
        <w:tabs>
          <w:tab w:val="left" w:pos="5255"/>
        </w:tabs>
        <w:jc w:val="both"/>
        <w:rPr>
          <w:rFonts w:ascii="Garamond" w:hAnsi="Garamond"/>
          <w:bCs/>
        </w:rPr>
      </w:pPr>
      <w:r>
        <w:rPr>
          <w:rFonts w:ascii="Garamond" w:hAnsi="Garamond"/>
          <w:bCs/>
        </w:rPr>
        <w:t xml:space="preserve">Alors que l’Italie a récemment réintégré les personnels soignants suspendus du fait de leur non vaccination contre la COVID 19, le gouvernement français s’y oppose et nul ne sait si dans </w:t>
      </w:r>
      <w:proofErr w:type="gramStart"/>
      <w:r>
        <w:rPr>
          <w:rFonts w:ascii="Garamond" w:hAnsi="Garamond"/>
          <w:bCs/>
        </w:rPr>
        <w:t>un  proche</w:t>
      </w:r>
      <w:proofErr w:type="gramEnd"/>
      <w:r>
        <w:rPr>
          <w:rFonts w:ascii="Garamond" w:hAnsi="Garamond"/>
          <w:bCs/>
        </w:rPr>
        <w:t xml:space="preserve"> ou lointain avenir l’obligation vaccinale contre la COVID 19 des professionnels de santé sera levée.</w:t>
      </w:r>
    </w:p>
    <w:p w14:paraId="43081DF3" w14:textId="77777777" w:rsidR="003018E5" w:rsidRDefault="003018E5" w:rsidP="003018E5">
      <w:pPr>
        <w:tabs>
          <w:tab w:val="left" w:pos="5255"/>
        </w:tabs>
        <w:jc w:val="both"/>
        <w:rPr>
          <w:rFonts w:ascii="Garamond" w:hAnsi="Garamond"/>
          <w:bCs/>
        </w:rPr>
      </w:pPr>
    </w:p>
    <w:p w14:paraId="2971CB05" w14:textId="77777777" w:rsidR="003018E5" w:rsidRDefault="003018E5" w:rsidP="003018E5">
      <w:pPr>
        <w:tabs>
          <w:tab w:val="left" w:pos="5255"/>
        </w:tabs>
        <w:jc w:val="both"/>
        <w:rPr>
          <w:rFonts w:ascii="Garamond" w:hAnsi="Garamond"/>
          <w:bCs/>
        </w:rPr>
      </w:pPr>
      <w:r>
        <w:rPr>
          <w:rFonts w:ascii="Garamond" w:hAnsi="Garamond"/>
          <w:bCs/>
        </w:rPr>
        <w:t>Cependant, l</w:t>
      </w:r>
      <w:r w:rsidRPr="00E57F2C">
        <w:rPr>
          <w:rFonts w:ascii="Garamond" w:hAnsi="Garamond"/>
          <w:bCs/>
        </w:rPr>
        <w:t>a suspension du contrat de travail induit que le salarié retrouvera l’emploi qu’il a quitté temporairement ou à défaut un emploi similaire lors de la reprise normale du contrat de travail.</w:t>
      </w:r>
    </w:p>
    <w:p w14:paraId="0D864D32" w14:textId="77777777" w:rsidR="003018E5" w:rsidRDefault="003018E5" w:rsidP="003018E5">
      <w:pPr>
        <w:tabs>
          <w:tab w:val="left" w:pos="5255"/>
        </w:tabs>
        <w:jc w:val="both"/>
        <w:rPr>
          <w:rFonts w:ascii="Garamond" w:hAnsi="Garamond"/>
          <w:bCs/>
        </w:rPr>
      </w:pPr>
    </w:p>
    <w:p w14:paraId="744C2A7D" w14:textId="77777777" w:rsidR="003018E5" w:rsidRDefault="003018E5" w:rsidP="003018E5">
      <w:pPr>
        <w:tabs>
          <w:tab w:val="left" w:pos="5255"/>
        </w:tabs>
        <w:jc w:val="both"/>
        <w:rPr>
          <w:rFonts w:ascii="Garamond" w:hAnsi="Garamond"/>
          <w:bCs/>
        </w:rPr>
      </w:pPr>
      <w:r>
        <w:rPr>
          <w:rFonts w:ascii="Garamond" w:hAnsi="Garamond"/>
          <w:bCs/>
        </w:rPr>
        <w:t>Par ailleurs, pour qu’un contrat de travail existe, trois éléments doivent être réunis : une prestation de travail, une rémunération et un lien de subordination juridique. Si la prestation de travail et la rémunération sont suspendues, le lien de subordination juridique perdure.</w:t>
      </w:r>
    </w:p>
    <w:p w14:paraId="2906E783" w14:textId="77777777" w:rsidR="003018E5" w:rsidRDefault="003018E5" w:rsidP="003018E5">
      <w:pPr>
        <w:tabs>
          <w:tab w:val="left" w:pos="5255"/>
        </w:tabs>
        <w:jc w:val="both"/>
        <w:rPr>
          <w:rFonts w:ascii="Garamond" w:hAnsi="Garamond"/>
          <w:bCs/>
        </w:rPr>
      </w:pPr>
    </w:p>
    <w:p w14:paraId="08EC47DD" w14:textId="77777777" w:rsidR="003018E5" w:rsidRDefault="003018E5" w:rsidP="003018E5">
      <w:pPr>
        <w:tabs>
          <w:tab w:val="left" w:pos="5255"/>
        </w:tabs>
        <w:jc w:val="both"/>
        <w:rPr>
          <w:rFonts w:ascii="Garamond" w:hAnsi="Garamond"/>
          <w:bCs/>
        </w:rPr>
      </w:pPr>
      <w:r>
        <w:rPr>
          <w:rFonts w:ascii="Garamond" w:hAnsi="Garamond"/>
          <w:bCs/>
        </w:rPr>
        <w:lastRenderedPageBreak/>
        <w:t>L’article 1195 du code civil indique :</w:t>
      </w:r>
    </w:p>
    <w:p w14:paraId="6B8D9065" w14:textId="77777777" w:rsidR="003018E5" w:rsidRDefault="003018E5" w:rsidP="003018E5">
      <w:pPr>
        <w:tabs>
          <w:tab w:val="left" w:pos="5255"/>
        </w:tabs>
        <w:jc w:val="both"/>
        <w:rPr>
          <w:rFonts w:ascii="Garamond" w:hAnsi="Garamond"/>
          <w:bCs/>
        </w:rPr>
      </w:pPr>
    </w:p>
    <w:p w14:paraId="30E96BDA" w14:textId="77777777" w:rsidR="003018E5" w:rsidRPr="00E57F2C" w:rsidRDefault="003018E5" w:rsidP="003018E5">
      <w:pPr>
        <w:tabs>
          <w:tab w:val="left" w:pos="5255"/>
        </w:tabs>
        <w:ind w:left="567" w:right="561"/>
        <w:jc w:val="both"/>
        <w:rPr>
          <w:rFonts w:ascii="Garamond" w:hAnsi="Garamond"/>
          <w:bCs/>
        </w:rPr>
      </w:pPr>
      <w:r>
        <w:rPr>
          <w:rFonts w:ascii="Garamond" w:hAnsi="Garamond"/>
          <w:bCs/>
        </w:rPr>
        <w:t>« </w:t>
      </w:r>
      <w:r w:rsidRPr="00E57F2C">
        <w:rPr>
          <w:rFonts w:ascii="Garamond" w:hAnsi="Garamond"/>
          <w:bCs/>
        </w:rPr>
        <w:t xml:space="preserve">Si un changement de circonstances imprévisible lors de la conclusion du contrat rend l'exécution excessivement onéreuse pour une partie qui n'avait pas accepté d'en assumer le risque, celle-ci peut demander une renégociation du contrat à son cocontractant. Elle continue à exécuter ses obligations durant la renégociation. </w:t>
      </w:r>
    </w:p>
    <w:p w14:paraId="05DB5919" w14:textId="77777777" w:rsidR="003018E5" w:rsidRDefault="003018E5" w:rsidP="003018E5">
      <w:pPr>
        <w:tabs>
          <w:tab w:val="left" w:pos="5255"/>
        </w:tabs>
        <w:ind w:left="567" w:right="561"/>
        <w:jc w:val="both"/>
        <w:rPr>
          <w:rFonts w:ascii="Garamond" w:hAnsi="Garamond"/>
          <w:bCs/>
        </w:rPr>
      </w:pPr>
    </w:p>
    <w:p w14:paraId="4AF5D1D3" w14:textId="77777777" w:rsidR="003018E5" w:rsidRDefault="003018E5" w:rsidP="003018E5">
      <w:pPr>
        <w:tabs>
          <w:tab w:val="left" w:pos="5255"/>
        </w:tabs>
        <w:ind w:left="567" w:right="561"/>
        <w:jc w:val="both"/>
        <w:rPr>
          <w:rFonts w:ascii="Garamond" w:hAnsi="Garamond"/>
          <w:bCs/>
        </w:rPr>
      </w:pPr>
      <w:r w:rsidRPr="00E57F2C">
        <w:rPr>
          <w:rFonts w:ascii="Garamond" w:hAnsi="Garamond"/>
          <w:bCs/>
        </w:rPr>
        <w:t>En cas de refus ou d'échec de la renégociation, les parties peuvent convenir de la résolution du contrat, à la date et aux conditions qu'elles déterminent, ou demander d'un commun accord au juge de procéder à son adaptation. A défaut d'accord dans un délai raisonnable, le juge peut, à la demande d'une partie, réviser le contrat ou y mettre fin, à la date et aux conditions qu'il fixe</w:t>
      </w:r>
      <w:r>
        <w:rPr>
          <w:rFonts w:ascii="Garamond" w:hAnsi="Garamond"/>
          <w:bCs/>
        </w:rPr>
        <w:t> ».</w:t>
      </w:r>
    </w:p>
    <w:p w14:paraId="537F58E7" w14:textId="77777777" w:rsidR="003018E5" w:rsidRDefault="003018E5" w:rsidP="003018E5">
      <w:pPr>
        <w:tabs>
          <w:tab w:val="left" w:pos="5255"/>
        </w:tabs>
        <w:ind w:right="-6"/>
        <w:jc w:val="both"/>
        <w:rPr>
          <w:rFonts w:ascii="Garamond" w:hAnsi="Garamond"/>
          <w:bCs/>
        </w:rPr>
      </w:pPr>
    </w:p>
    <w:p w14:paraId="57827A2C" w14:textId="1E9F34EB" w:rsidR="003018E5" w:rsidRDefault="00FA3CE0" w:rsidP="003018E5">
      <w:pPr>
        <w:tabs>
          <w:tab w:val="left" w:pos="5255"/>
        </w:tabs>
        <w:ind w:right="-6"/>
        <w:jc w:val="both"/>
        <w:rPr>
          <w:rFonts w:ascii="Garamond" w:hAnsi="Garamond"/>
          <w:bCs/>
        </w:rPr>
      </w:pPr>
      <w:r>
        <w:rPr>
          <w:rFonts w:ascii="Garamond" w:hAnsi="Garamond"/>
          <w:bCs/>
        </w:rPr>
        <w:t xml:space="preserve">Notre relation contractuelle </w:t>
      </w:r>
      <w:r w:rsidR="003018E5">
        <w:rPr>
          <w:rFonts w:ascii="Garamond" w:hAnsi="Garamond"/>
          <w:bCs/>
        </w:rPr>
        <w:t xml:space="preserve">étant affectée d’un changement de circonstances imprévisibles lors de sa conclusion, je vous demande </w:t>
      </w:r>
      <w:r>
        <w:rPr>
          <w:rFonts w:ascii="Garamond" w:hAnsi="Garamond"/>
          <w:bCs/>
        </w:rPr>
        <w:t xml:space="preserve">de me </w:t>
      </w:r>
      <w:r w:rsidR="003018E5">
        <w:rPr>
          <w:rFonts w:ascii="Garamond" w:hAnsi="Garamond"/>
          <w:bCs/>
        </w:rPr>
        <w:t xml:space="preserve">recevoir pour un rendez-vous la semaine prochaine afin de renégocier </w:t>
      </w:r>
      <w:r>
        <w:rPr>
          <w:rFonts w:ascii="Garamond" w:hAnsi="Garamond"/>
          <w:bCs/>
        </w:rPr>
        <w:t xml:space="preserve">mon </w:t>
      </w:r>
      <w:r w:rsidR="003018E5">
        <w:rPr>
          <w:rFonts w:ascii="Garamond" w:hAnsi="Garamond"/>
          <w:bCs/>
        </w:rPr>
        <w:t>contrat de travail</w:t>
      </w:r>
      <w:r>
        <w:rPr>
          <w:rFonts w:ascii="Garamond" w:hAnsi="Garamond"/>
          <w:bCs/>
        </w:rPr>
        <w:t xml:space="preserve"> ou de me licencier</w:t>
      </w:r>
    </w:p>
    <w:p w14:paraId="4395C52C" w14:textId="77777777" w:rsidR="003018E5" w:rsidRDefault="003018E5" w:rsidP="003018E5">
      <w:pPr>
        <w:tabs>
          <w:tab w:val="left" w:pos="5255"/>
        </w:tabs>
        <w:ind w:right="-6"/>
        <w:jc w:val="both"/>
        <w:rPr>
          <w:rFonts w:ascii="Garamond" w:hAnsi="Garamond"/>
          <w:bCs/>
        </w:rPr>
      </w:pPr>
    </w:p>
    <w:p w14:paraId="63BA04FF" w14:textId="77777777" w:rsidR="003018E5" w:rsidRDefault="003018E5" w:rsidP="003018E5">
      <w:pPr>
        <w:tabs>
          <w:tab w:val="left" w:pos="5255"/>
        </w:tabs>
        <w:ind w:right="-6"/>
        <w:jc w:val="both"/>
        <w:rPr>
          <w:rFonts w:ascii="Garamond" w:hAnsi="Garamond"/>
          <w:bCs/>
        </w:rPr>
      </w:pPr>
      <w:r>
        <w:rPr>
          <w:rFonts w:ascii="Garamond" w:hAnsi="Garamond"/>
          <w:bCs/>
        </w:rPr>
        <w:t>Je vous merci de m’indiquer vos dates de disponibilités.</w:t>
      </w:r>
    </w:p>
    <w:p w14:paraId="2E71A767" w14:textId="77777777" w:rsidR="003018E5" w:rsidRPr="00EC02D2" w:rsidRDefault="003018E5" w:rsidP="003018E5">
      <w:pPr>
        <w:tabs>
          <w:tab w:val="left" w:pos="5255"/>
        </w:tabs>
        <w:jc w:val="both"/>
        <w:rPr>
          <w:rFonts w:ascii="Garamond" w:hAnsi="Garamond"/>
        </w:rPr>
      </w:pPr>
    </w:p>
    <w:p w14:paraId="592FEE69" w14:textId="5A124283" w:rsidR="003018E5" w:rsidRDefault="00FA3CE0" w:rsidP="003018E5">
      <w:pPr>
        <w:tabs>
          <w:tab w:val="left" w:pos="5255"/>
        </w:tabs>
        <w:jc w:val="both"/>
        <w:rPr>
          <w:rFonts w:ascii="Garamond" w:hAnsi="Garamond"/>
        </w:rPr>
      </w:pPr>
      <w:r>
        <w:rPr>
          <w:rFonts w:ascii="Garamond" w:hAnsi="Garamond"/>
        </w:rPr>
        <w:t>Signature »</w:t>
      </w:r>
    </w:p>
    <w:p w14:paraId="1EDA23BD" w14:textId="77777777" w:rsidR="003018E5" w:rsidRDefault="003018E5" w:rsidP="003018E5">
      <w:pPr>
        <w:tabs>
          <w:tab w:val="left" w:pos="5255"/>
        </w:tabs>
        <w:jc w:val="both"/>
        <w:rPr>
          <w:rFonts w:ascii="Garamond" w:hAnsi="Garamond"/>
        </w:rPr>
      </w:pPr>
    </w:p>
    <w:p w14:paraId="3199CB39" w14:textId="60BB3536" w:rsidR="003018E5" w:rsidRDefault="003018E5" w:rsidP="003018E5">
      <w:pPr>
        <w:tabs>
          <w:tab w:val="left" w:pos="5255"/>
        </w:tabs>
        <w:jc w:val="both"/>
        <w:rPr>
          <w:rFonts w:ascii="Garamond" w:hAnsi="Garamond"/>
        </w:rPr>
      </w:pPr>
    </w:p>
    <w:p w14:paraId="08F53AC7" w14:textId="77777777" w:rsidR="00FA3CE0" w:rsidRDefault="00FA3CE0" w:rsidP="003018E5">
      <w:pPr>
        <w:tabs>
          <w:tab w:val="left" w:pos="5255"/>
        </w:tabs>
        <w:jc w:val="both"/>
        <w:rPr>
          <w:rFonts w:ascii="Garamond" w:hAnsi="Garamond"/>
        </w:rPr>
      </w:pPr>
    </w:p>
    <w:p w14:paraId="403456DA" w14:textId="3CB44BE0" w:rsidR="00FA3CE0" w:rsidRPr="00FA3CE0" w:rsidRDefault="00FA3CE0" w:rsidP="00FA3CE0">
      <w:pPr>
        <w:pStyle w:val="Paragraphedeliste"/>
        <w:numPr>
          <w:ilvl w:val="1"/>
          <w:numId w:val="1"/>
        </w:numPr>
        <w:rPr>
          <w:rFonts w:ascii="Garamond" w:hAnsi="Garamond"/>
          <w:b/>
          <w:bCs/>
        </w:rPr>
      </w:pPr>
      <w:r>
        <w:rPr>
          <w:rFonts w:ascii="Garamond" w:hAnsi="Garamond"/>
          <w:b/>
          <w:bCs/>
        </w:rPr>
        <w:t>Réponse de l’employeur et suites</w:t>
      </w:r>
    </w:p>
    <w:p w14:paraId="7438C040" w14:textId="77777777" w:rsidR="00FA3CE0" w:rsidRDefault="00FA3CE0" w:rsidP="003018E5">
      <w:pPr>
        <w:tabs>
          <w:tab w:val="left" w:pos="5255"/>
        </w:tabs>
        <w:jc w:val="both"/>
        <w:rPr>
          <w:rFonts w:ascii="Garamond" w:hAnsi="Garamond"/>
        </w:rPr>
      </w:pPr>
    </w:p>
    <w:p w14:paraId="6512770D" w14:textId="6BCFA4BE" w:rsidR="003018E5" w:rsidRDefault="003018E5" w:rsidP="007E7678">
      <w:pPr>
        <w:jc w:val="both"/>
      </w:pPr>
    </w:p>
    <w:p w14:paraId="17EFFB19" w14:textId="0F3FD0B7" w:rsidR="00FA3CE0" w:rsidRDefault="007E7678" w:rsidP="007E7678">
      <w:pPr>
        <w:jc w:val="both"/>
        <w:rPr>
          <w:rFonts w:ascii="Garamond" w:hAnsi="Garamond"/>
        </w:rPr>
      </w:pPr>
      <w:r>
        <w:rPr>
          <w:rFonts w:ascii="Garamond" w:hAnsi="Garamond"/>
        </w:rPr>
        <w:t>Il serait bon de tenir informée les associations ou syndicats qui vous assistent pour que puisse être centralisées les réponses des employeurs.</w:t>
      </w:r>
    </w:p>
    <w:p w14:paraId="1E36C6F6" w14:textId="68661CFA" w:rsidR="007E7678" w:rsidRDefault="007E7678" w:rsidP="007E7678">
      <w:pPr>
        <w:jc w:val="both"/>
        <w:rPr>
          <w:rFonts w:ascii="Garamond" w:hAnsi="Garamond"/>
        </w:rPr>
      </w:pPr>
    </w:p>
    <w:p w14:paraId="307283DB" w14:textId="3ED37504" w:rsidR="007E7678" w:rsidRDefault="007E7678" w:rsidP="007E7678">
      <w:pPr>
        <w:jc w:val="both"/>
        <w:rPr>
          <w:rFonts w:ascii="Garamond" w:hAnsi="Garamond"/>
        </w:rPr>
      </w:pPr>
      <w:r>
        <w:rPr>
          <w:rFonts w:ascii="Garamond" w:hAnsi="Garamond"/>
        </w:rPr>
        <w:t>Une fois cette lettre reçue par votre employeur, soit celui-ci proposera un rendez-vous soit le refusera.</w:t>
      </w:r>
    </w:p>
    <w:p w14:paraId="513CED53" w14:textId="29695EF2" w:rsidR="007E7678" w:rsidRDefault="007E7678" w:rsidP="007E7678">
      <w:pPr>
        <w:jc w:val="both"/>
        <w:rPr>
          <w:rFonts w:ascii="Garamond" w:hAnsi="Garamond"/>
        </w:rPr>
      </w:pPr>
    </w:p>
    <w:p w14:paraId="59EC34C4" w14:textId="77777777" w:rsidR="007E7678" w:rsidRDefault="007E7678" w:rsidP="007E7678">
      <w:pPr>
        <w:jc w:val="both"/>
        <w:rPr>
          <w:rFonts w:ascii="Garamond" w:hAnsi="Garamond"/>
        </w:rPr>
      </w:pPr>
      <w:r>
        <w:rPr>
          <w:rFonts w:ascii="Garamond" w:hAnsi="Garamond"/>
        </w:rPr>
        <w:t xml:space="preserve">Si un rendez-vous est proposé, il faut évidemment s’y déplacer et faire valoir les éléments liés à l’imprévision et à l’interdiction du servage. </w:t>
      </w:r>
    </w:p>
    <w:p w14:paraId="0A09D144" w14:textId="77777777" w:rsidR="007E7678" w:rsidRDefault="007E7678" w:rsidP="007E7678">
      <w:pPr>
        <w:jc w:val="both"/>
        <w:rPr>
          <w:rFonts w:ascii="Garamond" w:hAnsi="Garamond"/>
        </w:rPr>
      </w:pPr>
    </w:p>
    <w:p w14:paraId="19F8EC5A" w14:textId="2CDB4C7D" w:rsidR="007E7678" w:rsidRDefault="007E7678" w:rsidP="007E7678">
      <w:pPr>
        <w:jc w:val="both"/>
        <w:rPr>
          <w:rFonts w:ascii="Garamond" w:hAnsi="Garamond"/>
        </w:rPr>
      </w:pPr>
      <w:r>
        <w:rPr>
          <w:rFonts w:ascii="Garamond" w:hAnsi="Garamond"/>
        </w:rPr>
        <w:t>A l’issu de ce rendez-vous, votre employeur soit vous proposera de conclure une rupture conventionnelle du contrat de travail, soit vous licenciera.</w:t>
      </w:r>
    </w:p>
    <w:p w14:paraId="741218F8" w14:textId="7554DFD2" w:rsidR="007E7678" w:rsidRDefault="007E7678" w:rsidP="007E7678">
      <w:pPr>
        <w:jc w:val="both"/>
        <w:rPr>
          <w:rFonts w:ascii="Garamond" w:hAnsi="Garamond"/>
        </w:rPr>
      </w:pPr>
    </w:p>
    <w:p w14:paraId="541B73B3" w14:textId="738464C5" w:rsidR="007E7678" w:rsidRDefault="007E7678" w:rsidP="007E7678">
      <w:pPr>
        <w:jc w:val="both"/>
        <w:rPr>
          <w:rFonts w:ascii="Garamond" w:hAnsi="Garamond"/>
          <w:bCs/>
        </w:rPr>
      </w:pPr>
      <w:r>
        <w:rPr>
          <w:rFonts w:ascii="Garamond" w:hAnsi="Garamond"/>
        </w:rPr>
        <w:t xml:space="preserve">Si votre employeur ne propose que le maintien du statu quo, alors le juge des prud’hommes pourra être saisi en référé et devra en application de l’article 1195 du Code </w:t>
      </w:r>
      <w:proofErr w:type="spellStart"/>
      <w:r>
        <w:rPr>
          <w:rFonts w:ascii="Garamond" w:hAnsi="Garamond"/>
        </w:rPr>
        <w:t>Civi</w:t>
      </w:r>
      <w:proofErr w:type="spellEnd"/>
      <w:r>
        <w:rPr>
          <w:rFonts w:ascii="Garamond" w:hAnsi="Garamond"/>
        </w:rPr>
        <w:t xml:space="preserve"> « </w:t>
      </w:r>
      <w:r w:rsidRPr="00E57F2C">
        <w:rPr>
          <w:rFonts w:ascii="Garamond" w:hAnsi="Garamond"/>
          <w:bCs/>
        </w:rPr>
        <w:t>réviser le contrat ou y mettre fin, à la date et aux conditions qu'il fixe</w:t>
      </w:r>
      <w:r>
        <w:rPr>
          <w:rFonts w:ascii="Garamond" w:hAnsi="Garamond"/>
          <w:bCs/>
        </w:rPr>
        <w:t> ».</w:t>
      </w:r>
    </w:p>
    <w:p w14:paraId="391AC16B" w14:textId="527AF66B" w:rsidR="007E7678" w:rsidRDefault="007E7678" w:rsidP="007E7678">
      <w:pPr>
        <w:jc w:val="both"/>
        <w:rPr>
          <w:rFonts w:ascii="Garamond" w:hAnsi="Garamond"/>
          <w:bCs/>
        </w:rPr>
      </w:pPr>
    </w:p>
    <w:p w14:paraId="524C4AD3" w14:textId="7BD00624" w:rsidR="007E7678" w:rsidRDefault="007E7678" w:rsidP="007E7678">
      <w:pPr>
        <w:jc w:val="both"/>
        <w:rPr>
          <w:rFonts w:ascii="Garamond" w:hAnsi="Garamond"/>
        </w:rPr>
      </w:pPr>
      <w:r>
        <w:rPr>
          <w:rFonts w:ascii="Garamond" w:hAnsi="Garamond"/>
          <w:bCs/>
        </w:rPr>
        <w:t>Il sera alors soutenu devant le Tribunal qu’une suspension indéfinie dans le temps correspond à un état de servage.</w:t>
      </w:r>
    </w:p>
    <w:p w14:paraId="19DAC240" w14:textId="77777777" w:rsidR="007E7678" w:rsidRDefault="007E7678" w:rsidP="007E7678">
      <w:pPr>
        <w:jc w:val="both"/>
        <w:rPr>
          <w:rFonts w:ascii="Garamond" w:hAnsi="Garamond"/>
        </w:rPr>
      </w:pPr>
    </w:p>
    <w:p w14:paraId="3DE891AC" w14:textId="5F3F0A1C" w:rsidR="007E7678" w:rsidRDefault="007E7678">
      <w:pPr>
        <w:rPr>
          <w:rFonts w:ascii="Garamond" w:hAnsi="Garamond"/>
        </w:rPr>
      </w:pPr>
      <w:r>
        <w:rPr>
          <w:rFonts w:ascii="Garamond" w:hAnsi="Garamond"/>
        </w:rPr>
        <w:t>Un modèle de référé sera diffusé.</w:t>
      </w:r>
    </w:p>
    <w:p w14:paraId="1073B6A2" w14:textId="311DD221" w:rsidR="007E7678" w:rsidRDefault="007E7678">
      <w:pPr>
        <w:rPr>
          <w:rFonts w:ascii="Garamond" w:hAnsi="Garamond"/>
        </w:rPr>
      </w:pPr>
    </w:p>
    <w:p w14:paraId="60131035" w14:textId="5661A163" w:rsidR="002B0036" w:rsidRDefault="002B0036">
      <w:pPr>
        <w:rPr>
          <w:rFonts w:ascii="Garamond" w:hAnsi="Garamond"/>
        </w:rPr>
      </w:pPr>
    </w:p>
    <w:p w14:paraId="7A792E86" w14:textId="15FAC989" w:rsidR="002B0036" w:rsidRDefault="002B0036">
      <w:pPr>
        <w:rPr>
          <w:rFonts w:ascii="Garamond" w:hAnsi="Garamond"/>
        </w:rPr>
      </w:pPr>
    </w:p>
    <w:p w14:paraId="5112542D" w14:textId="77777777" w:rsidR="002B0036" w:rsidRDefault="002B0036">
      <w:pPr>
        <w:rPr>
          <w:rFonts w:ascii="Garamond" w:hAnsi="Garamond"/>
        </w:rPr>
      </w:pPr>
    </w:p>
    <w:p w14:paraId="14FEF5A9" w14:textId="1AAB0ED0" w:rsidR="007E7678" w:rsidRDefault="007E7678">
      <w:pPr>
        <w:rPr>
          <w:rFonts w:ascii="Garamond" w:hAnsi="Garamond"/>
        </w:rPr>
      </w:pPr>
    </w:p>
    <w:p w14:paraId="7D1B7EC5" w14:textId="01B6017A" w:rsidR="007E7678" w:rsidRDefault="007E7678" w:rsidP="007E7678">
      <w:pPr>
        <w:pStyle w:val="Paragraphedeliste"/>
        <w:numPr>
          <w:ilvl w:val="0"/>
          <w:numId w:val="1"/>
        </w:numPr>
        <w:jc w:val="both"/>
        <w:rPr>
          <w:rFonts w:ascii="Garamond" w:hAnsi="Garamond"/>
          <w:b/>
          <w:bCs/>
        </w:rPr>
      </w:pPr>
      <w:r w:rsidRPr="007E7678">
        <w:rPr>
          <w:rFonts w:ascii="Garamond" w:hAnsi="Garamond"/>
        </w:rPr>
        <w:lastRenderedPageBreak/>
        <w:t xml:space="preserve"> </w:t>
      </w:r>
      <w:r>
        <w:rPr>
          <w:rFonts w:ascii="Garamond" w:hAnsi="Garamond"/>
          <w:b/>
          <w:bCs/>
        </w:rPr>
        <w:t>Cas particuliers des troubles du cycle</w:t>
      </w:r>
    </w:p>
    <w:p w14:paraId="3E634816" w14:textId="4EC21570" w:rsidR="00746427" w:rsidRDefault="00746427" w:rsidP="00746427">
      <w:pPr>
        <w:jc w:val="both"/>
        <w:rPr>
          <w:rFonts w:ascii="Garamond" w:hAnsi="Garamond"/>
          <w:b/>
          <w:bCs/>
        </w:rPr>
      </w:pPr>
    </w:p>
    <w:p w14:paraId="06BD4D45" w14:textId="77777777" w:rsidR="00746427" w:rsidRDefault="00746427" w:rsidP="00746427">
      <w:pPr>
        <w:jc w:val="both"/>
        <w:rPr>
          <w:rFonts w:ascii="Garamond" w:hAnsi="Garamond"/>
          <w:b/>
          <w:bCs/>
        </w:rPr>
      </w:pPr>
    </w:p>
    <w:p w14:paraId="05E93F12" w14:textId="77777777" w:rsidR="00746427" w:rsidRDefault="00746427" w:rsidP="00746427">
      <w:pPr>
        <w:jc w:val="both"/>
        <w:rPr>
          <w:rFonts w:ascii="Garamond" w:hAnsi="Garamond"/>
        </w:rPr>
      </w:pPr>
      <w:r>
        <w:rPr>
          <w:rFonts w:ascii="Garamond" w:hAnsi="Garamond"/>
        </w:rPr>
        <w:t xml:space="preserve">Les actions du collectif « où est mon cycle » ont contribué à voir reconnaître que la vaccination contre la COVID 19 peut avoir des effets indésirables graves et continus sur le cycle des femmes. </w:t>
      </w:r>
    </w:p>
    <w:p w14:paraId="124C462C" w14:textId="77777777" w:rsidR="00746427" w:rsidRDefault="00746427" w:rsidP="00746427">
      <w:pPr>
        <w:jc w:val="both"/>
        <w:rPr>
          <w:rFonts w:ascii="Garamond" w:hAnsi="Garamond"/>
        </w:rPr>
      </w:pPr>
    </w:p>
    <w:p w14:paraId="16FC32D1" w14:textId="1FD30E48" w:rsidR="00746427" w:rsidRDefault="00746427" w:rsidP="00746427">
      <w:pPr>
        <w:jc w:val="both"/>
        <w:rPr>
          <w:rFonts w:ascii="Garamond" w:hAnsi="Garamond"/>
        </w:rPr>
      </w:pPr>
      <w:r>
        <w:rPr>
          <w:rFonts w:ascii="Garamond" w:hAnsi="Garamond"/>
        </w:rPr>
        <w:t xml:space="preserve">Dans la mesure où il est soutenu par le gouvernement qu’il ne serait pas éthique pour un soignant de ne pas être vaccinée, il sera répondu tant pour les soignantes suspendues car jamais vaccinées que pour celles suspendues après avoir subi des effets secondaires en lien avec des injections, qu’il n’est pas éthique de contraindre une femme à prendre le risque de souffrir de troubles du cycle </w:t>
      </w:r>
      <w:proofErr w:type="gramStart"/>
      <w:r>
        <w:rPr>
          <w:rFonts w:ascii="Garamond" w:hAnsi="Garamond"/>
        </w:rPr>
        <w:t>voir</w:t>
      </w:r>
      <w:proofErr w:type="gramEnd"/>
      <w:r>
        <w:rPr>
          <w:rFonts w:ascii="Garamond" w:hAnsi="Garamond"/>
        </w:rPr>
        <w:t xml:space="preserve"> d’infertilité pour conserver son emploi.</w:t>
      </w:r>
    </w:p>
    <w:p w14:paraId="7ED7A131" w14:textId="314FC81E" w:rsidR="00746427" w:rsidRDefault="00746427" w:rsidP="00746427">
      <w:pPr>
        <w:jc w:val="both"/>
        <w:rPr>
          <w:rFonts w:ascii="Garamond" w:hAnsi="Garamond"/>
        </w:rPr>
      </w:pPr>
    </w:p>
    <w:p w14:paraId="5CBCEF5A" w14:textId="36833872" w:rsidR="00746427" w:rsidRDefault="00746427" w:rsidP="00746427">
      <w:pPr>
        <w:jc w:val="both"/>
        <w:rPr>
          <w:rFonts w:ascii="Garamond" w:hAnsi="Garamond"/>
        </w:rPr>
      </w:pPr>
      <w:r>
        <w:rPr>
          <w:rFonts w:ascii="Garamond" w:hAnsi="Garamond"/>
        </w:rPr>
        <w:t xml:space="preserve">Évidemment ce raisonnement peut être soutenu pour tous effets secondaires du vaccin, mais il semble que les soignants suspendus </w:t>
      </w:r>
      <w:proofErr w:type="gramStart"/>
      <w:r>
        <w:rPr>
          <w:rFonts w:ascii="Garamond" w:hAnsi="Garamond"/>
        </w:rPr>
        <w:t>soit</w:t>
      </w:r>
      <w:proofErr w:type="gramEnd"/>
      <w:r>
        <w:rPr>
          <w:rFonts w:ascii="Garamond" w:hAnsi="Garamond"/>
        </w:rPr>
        <w:t xml:space="preserve"> majoritairement des femmes, si bien que cet argument pourra avoir de la portée.</w:t>
      </w:r>
    </w:p>
    <w:p w14:paraId="35C28842" w14:textId="02F20AC5" w:rsidR="002B0036" w:rsidRDefault="002B0036" w:rsidP="00746427">
      <w:pPr>
        <w:jc w:val="both"/>
        <w:rPr>
          <w:rFonts w:ascii="Garamond" w:hAnsi="Garamond"/>
        </w:rPr>
      </w:pPr>
    </w:p>
    <w:p w14:paraId="1A93E349" w14:textId="77777777" w:rsidR="002B0036" w:rsidRDefault="002B0036" w:rsidP="00746427">
      <w:pPr>
        <w:jc w:val="both"/>
        <w:rPr>
          <w:rFonts w:ascii="Garamond" w:hAnsi="Garamond"/>
        </w:rPr>
      </w:pPr>
    </w:p>
    <w:p w14:paraId="0425B29F" w14:textId="06C7FD7A" w:rsidR="00FA7F02" w:rsidRDefault="00FA7F02" w:rsidP="00746427">
      <w:pPr>
        <w:jc w:val="both"/>
        <w:rPr>
          <w:rFonts w:ascii="Garamond" w:hAnsi="Garamond"/>
        </w:rPr>
      </w:pPr>
    </w:p>
    <w:p w14:paraId="5A7F096A" w14:textId="0F5E36ED" w:rsidR="002B0036" w:rsidRPr="002B0036" w:rsidRDefault="002B0036" w:rsidP="002B0036">
      <w:pPr>
        <w:pStyle w:val="Paragraphedeliste"/>
        <w:numPr>
          <w:ilvl w:val="0"/>
          <w:numId w:val="1"/>
        </w:numPr>
        <w:jc w:val="both"/>
        <w:rPr>
          <w:rFonts w:ascii="Garamond" w:hAnsi="Garamond"/>
          <w:b/>
          <w:bCs/>
        </w:rPr>
      </w:pPr>
      <w:r>
        <w:rPr>
          <w:rFonts w:ascii="Garamond" w:hAnsi="Garamond"/>
          <w:b/>
          <w:bCs/>
        </w:rPr>
        <w:t>Saisine du comité des droits de l’homme de l’ONU</w:t>
      </w:r>
    </w:p>
    <w:p w14:paraId="4153E28C" w14:textId="27C64CD4" w:rsidR="00C20C0B" w:rsidRDefault="00C20C0B" w:rsidP="00746427">
      <w:pPr>
        <w:jc w:val="both"/>
        <w:rPr>
          <w:rFonts w:ascii="Garamond" w:hAnsi="Garamond"/>
        </w:rPr>
      </w:pPr>
    </w:p>
    <w:p w14:paraId="4488A512" w14:textId="7F00D031" w:rsidR="0055425A" w:rsidRDefault="0055425A" w:rsidP="00746427">
      <w:pPr>
        <w:jc w:val="both"/>
        <w:rPr>
          <w:rFonts w:ascii="Garamond" w:hAnsi="Garamond"/>
        </w:rPr>
      </w:pPr>
      <w:r>
        <w:rPr>
          <w:rFonts w:ascii="Garamond" w:hAnsi="Garamond"/>
        </w:rPr>
        <w:t xml:space="preserve">Le site du conseil des droits de l’homme de l’ONU indique </w:t>
      </w:r>
      <w:r>
        <w:rPr>
          <w:rStyle w:val="Appelnotedebasdep"/>
          <w:rFonts w:ascii="Garamond" w:hAnsi="Garamond"/>
        </w:rPr>
        <w:footnoteReference w:id="2"/>
      </w:r>
      <w:r>
        <w:rPr>
          <w:rFonts w:ascii="Garamond" w:hAnsi="Garamond"/>
        </w:rPr>
        <w:t> : </w:t>
      </w:r>
    </w:p>
    <w:p w14:paraId="084B7626" w14:textId="77777777" w:rsidR="0055425A" w:rsidRDefault="0055425A" w:rsidP="0055425A">
      <w:pPr>
        <w:jc w:val="both"/>
        <w:rPr>
          <w:rFonts w:ascii="Garamond" w:hAnsi="Garamond"/>
        </w:rPr>
      </w:pPr>
      <w:r>
        <w:rPr>
          <w:rFonts w:ascii="Garamond" w:hAnsi="Garamond"/>
        </w:rPr>
        <w:t xml:space="preserve"> </w:t>
      </w:r>
    </w:p>
    <w:p w14:paraId="6C0DD4B7" w14:textId="6AF944EE" w:rsidR="002B0036" w:rsidRPr="00FA7F02" w:rsidRDefault="0055425A" w:rsidP="0055425A">
      <w:pPr>
        <w:jc w:val="both"/>
        <w:rPr>
          <w:rFonts w:ascii="Garamond" w:hAnsi="Garamond"/>
        </w:rPr>
      </w:pPr>
      <w:r>
        <w:rPr>
          <w:rFonts w:ascii="Garamond" w:hAnsi="Garamond"/>
        </w:rPr>
        <w:t>« </w:t>
      </w:r>
      <w:r w:rsidR="002B0036" w:rsidRPr="00FA7F02">
        <w:rPr>
          <w:rFonts w:ascii="Garamond" w:hAnsi="Garamond"/>
        </w:rPr>
        <w:t>Le 18 juin 2007, le Conseil des droits de l’homme</w:t>
      </w:r>
      <w:r w:rsidR="002B0036">
        <w:rPr>
          <w:rFonts w:ascii="Garamond" w:hAnsi="Garamond"/>
        </w:rPr>
        <w:t xml:space="preserve"> de l’ONU</w:t>
      </w:r>
      <w:r w:rsidR="002B0036" w:rsidRPr="00FA7F02">
        <w:rPr>
          <w:rFonts w:ascii="Garamond" w:hAnsi="Garamond"/>
        </w:rPr>
        <w:t xml:space="preserve"> a adopté la résolution 5/1 intitulée « Mise en place des institutions du Conseil des droits de l’homme », par laquelle une nouvelle procédure de requête a été créée pour traiter tous ensemble de violations flagrantes et attestées par des éléments dignes de foi, de tous les droits de l’homme et de toutes les libertés fondamentales, quelles que soient la région du monde et les circonstances dans lesquelles elles sont commises.</w:t>
      </w:r>
    </w:p>
    <w:p w14:paraId="69A6558E" w14:textId="77777777" w:rsidR="002B0036" w:rsidRPr="00FA7F02" w:rsidRDefault="002B0036" w:rsidP="002B0036">
      <w:pPr>
        <w:pStyle w:val="NormalWeb"/>
        <w:jc w:val="both"/>
        <w:rPr>
          <w:rFonts w:ascii="Garamond" w:hAnsi="Garamond"/>
        </w:rPr>
      </w:pPr>
      <w:r w:rsidRPr="00FA7F02">
        <w:rPr>
          <w:rFonts w:ascii="Garamond" w:hAnsi="Garamond"/>
        </w:rPr>
        <w:t>La procédure de plainte traite les communications soumises par des personnes, des groupes ou des organisations non gouvernementales qui affirment être victimes de violations des droits de l’homme ou ayant une connaissance directe et fiable de ces violations.</w:t>
      </w:r>
    </w:p>
    <w:p w14:paraId="2D2D2A23" w14:textId="77777777" w:rsidR="002B0036" w:rsidRDefault="002B0036" w:rsidP="002B0036">
      <w:pPr>
        <w:pStyle w:val="NormalWeb"/>
        <w:jc w:val="both"/>
        <w:rPr>
          <w:rFonts w:ascii="Garamond" w:hAnsi="Garamond"/>
        </w:rPr>
      </w:pPr>
      <w:r w:rsidRPr="00FA7F02">
        <w:rPr>
          <w:rFonts w:ascii="Garamond" w:hAnsi="Garamond"/>
        </w:rPr>
        <w:t>De même que l’ancienne procédure 1503, elle est confidentielle, de façon à renforcer la coopération avec l’État concerné. La nouvelle procédure de plainte a été améliorée afin de s’assurer que la procédure de requête soit impartiale, objective, efficace, favorable aux</w:t>
      </w:r>
      <w:r>
        <w:t xml:space="preserve"> </w:t>
      </w:r>
      <w:r w:rsidRPr="00FA7F02">
        <w:rPr>
          <w:rFonts w:ascii="Garamond" w:hAnsi="Garamond"/>
        </w:rPr>
        <w:t>victimes et conduite en temps utile.</w:t>
      </w:r>
    </w:p>
    <w:p w14:paraId="51DF24CF" w14:textId="77777777" w:rsidR="002B0036" w:rsidRPr="006E7C8B" w:rsidRDefault="002B0036" w:rsidP="002B0036">
      <w:pPr>
        <w:pStyle w:val="NormalWeb"/>
        <w:jc w:val="both"/>
        <w:rPr>
          <w:rFonts w:ascii="Garamond" w:hAnsi="Garamond"/>
        </w:rPr>
      </w:pPr>
      <w:r w:rsidRPr="006E7C8B">
        <w:rPr>
          <w:rFonts w:ascii="Garamond" w:hAnsi="Garamond"/>
        </w:rPr>
        <w:t xml:space="preserve">Conformément aux dispositions du paragraphe 94 de la résolution 5/1, le Président du Groupe de travail des communications, en collaboration avec le Secrétariat, effectue un premier tri des communications, en se fondant sur les critères de recevabilité énoncés aux paragraphes 85 à 88 de la résolution 5/1. </w:t>
      </w:r>
      <w:r w:rsidRPr="00902C2D">
        <w:rPr>
          <w:rFonts w:ascii="Garamond" w:hAnsi="Garamond"/>
          <w:b/>
          <w:bCs/>
        </w:rPr>
        <w:t xml:space="preserve">Les communications manifestement infondées ou anonymes sont écartées. Les communications qui n’ont pas été rejetées après l’examen initial sont transmises à l’État intéressé pour qu’ils fassent part de leurs observations sur les allégations de violations. </w:t>
      </w:r>
      <w:r w:rsidRPr="006E7C8B">
        <w:rPr>
          <w:rFonts w:ascii="Garamond" w:hAnsi="Garamond"/>
        </w:rPr>
        <w:t>Aussi bien l’auteur d’une communication que l’État intéressé sont informés de l’état de la procédure à tous les stades.</w:t>
      </w:r>
    </w:p>
    <w:p w14:paraId="789406E4" w14:textId="1C0A1DAF" w:rsidR="002B0036" w:rsidRDefault="002B0036" w:rsidP="002B0036">
      <w:pPr>
        <w:pStyle w:val="NormalWeb"/>
        <w:jc w:val="both"/>
        <w:rPr>
          <w:rFonts w:ascii="Garamond" w:hAnsi="Garamond"/>
          <w:color w:val="000000" w:themeColor="text1"/>
        </w:rPr>
      </w:pPr>
      <w:r w:rsidRPr="002B0036">
        <w:rPr>
          <w:rFonts w:ascii="Garamond" w:hAnsi="Garamond"/>
          <w:color w:val="000000" w:themeColor="text1"/>
        </w:rPr>
        <w:t xml:space="preserve">Deux groupes de travail distincts - le </w:t>
      </w:r>
      <w:hyperlink r:id="rId7" w:history="1">
        <w:r w:rsidRPr="002B0036">
          <w:rPr>
            <w:rStyle w:val="Lienhypertexte"/>
            <w:rFonts w:ascii="Garamond" w:hAnsi="Garamond"/>
            <w:color w:val="000000" w:themeColor="text1"/>
            <w:u w:val="none"/>
          </w:rPr>
          <w:t>Groupe de travail des communications</w:t>
        </w:r>
      </w:hyperlink>
      <w:r w:rsidRPr="002B0036">
        <w:rPr>
          <w:rFonts w:ascii="Garamond" w:hAnsi="Garamond"/>
          <w:color w:val="000000" w:themeColor="text1"/>
        </w:rPr>
        <w:t xml:space="preserve"> et le </w:t>
      </w:r>
      <w:hyperlink r:id="rId8" w:history="1">
        <w:r w:rsidRPr="002B0036">
          <w:rPr>
            <w:rStyle w:val="Lienhypertexte"/>
            <w:rFonts w:ascii="Garamond" w:hAnsi="Garamond"/>
            <w:color w:val="000000" w:themeColor="text1"/>
            <w:u w:val="none"/>
          </w:rPr>
          <w:t>Groupe de travail des situations</w:t>
        </w:r>
      </w:hyperlink>
      <w:r w:rsidRPr="002B0036">
        <w:rPr>
          <w:rFonts w:ascii="Garamond" w:hAnsi="Garamond"/>
          <w:color w:val="000000" w:themeColor="text1"/>
        </w:rPr>
        <w:t xml:space="preserve"> – sont chargés, respectivement, d’examiner les communications écrites et de porter </w:t>
      </w:r>
      <w:r w:rsidRPr="002B0036">
        <w:rPr>
          <w:rFonts w:ascii="Garamond" w:hAnsi="Garamond"/>
          <w:color w:val="000000" w:themeColor="text1"/>
        </w:rPr>
        <w:lastRenderedPageBreak/>
        <w:t>un ensemble de violations flagrantes attestées par des éléments dignes de foi des droits de l’homme et des libertés fondamentales à l’attention du Conseil</w:t>
      </w:r>
      <w:r w:rsidR="0055425A">
        <w:rPr>
          <w:rFonts w:ascii="Garamond" w:hAnsi="Garamond"/>
          <w:color w:val="000000" w:themeColor="text1"/>
        </w:rPr>
        <w:t> »</w:t>
      </w:r>
    </w:p>
    <w:p w14:paraId="4B21918C" w14:textId="3C467E80" w:rsidR="0055425A" w:rsidRDefault="0055425A" w:rsidP="002B0036">
      <w:pPr>
        <w:pStyle w:val="NormalWeb"/>
        <w:jc w:val="both"/>
        <w:rPr>
          <w:rFonts w:ascii="Garamond" w:hAnsi="Garamond"/>
          <w:b/>
          <w:bCs/>
          <w:color w:val="000000" w:themeColor="text1"/>
        </w:rPr>
      </w:pPr>
      <w:r w:rsidRPr="0055425A">
        <w:rPr>
          <w:rFonts w:ascii="Garamond" w:hAnsi="Garamond"/>
          <w:b/>
          <w:bCs/>
          <w:color w:val="000000" w:themeColor="text1"/>
        </w:rPr>
        <w:t>Le but d’une saisine de ce comité par de nombreux soignants suspendus et de faire en sorte que l’</w:t>
      </w:r>
      <w:proofErr w:type="spellStart"/>
      <w:r w:rsidRPr="0055425A">
        <w:rPr>
          <w:rFonts w:ascii="Garamond" w:hAnsi="Garamond"/>
          <w:b/>
          <w:bCs/>
          <w:color w:val="000000" w:themeColor="text1"/>
        </w:rPr>
        <w:t>Etat</w:t>
      </w:r>
      <w:proofErr w:type="spellEnd"/>
      <w:r w:rsidRPr="0055425A">
        <w:rPr>
          <w:rFonts w:ascii="Garamond" w:hAnsi="Garamond"/>
          <w:b/>
          <w:bCs/>
          <w:color w:val="000000" w:themeColor="text1"/>
        </w:rPr>
        <w:t xml:space="preserve"> Français et ses représentant aient à répondre la présente situation et de leur entêtement à violer les droits fondamentaux.</w:t>
      </w:r>
      <w:r>
        <w:rPr>
          <w:rFonts w:ascii="Garamond" w:hAnsi="Garamond"/>
          <w:b/>
          <w:bCs/>
          <w:color w:val="000000" w:themeColor="text1"/>
        </w:rPr>
        <w:t xml:space="preserve"> </w:t>
      </w:r>
    </w:p>
    <w:p w14:paraId="776FBBD4" w14:textId="487E1E21" w:rsidR="0055425A" w:rsidRPr="0055425A" w:rsidRDefault="0055425A" w:rsidP="002B0036">
      <w:pPr>
        <w:pStyle w:val="NormalWeb"/>
        <w:jc w:val="both"/>
        <w:rPr>
          <w:rFonts w:ascii="Garamond" w:hAnsi="Garamond"/>
          <w:b/>
          <w:bCs/>
          <w:color w:val="000000" w:themeColor="text1"/>
        </w:rPr>
      </w:pPr>
      <w:r>
        <w:rPr>
          <w:rFonts w:ascii="Garamond" w:hAnsi="Garamond"/>
          <w:b/>
          <w:bCs/>
          <w:color w:val="000000" w:themeColor="text1"/>
        </w:rPr>
        <w:t>Pour soumettre une plainte à ce comité, il suffit d’adresser le formulaire prévu à cet effet rempli à :</w:t>
      </w:r>
    </w:p>
    <w:p w14:paraId="12F2CBB4" w14:textId="77777777" w:rsidR="002B0036" w:rsidRPr="00C20C0B" w:rsidRDefault="002B0036" w:rsidP="002B0036">
      <w:pPr>
        <w:pStyle w:val="NormalWeb"/>
        <w:rPr>
          <w:rFonts w:ascii="Garamond" w:hAnsi="Garamond"/>
          <w:b/>
          <w:bCs/>
        </w:rPr>
      </w:pPr>
      <w:r w:rsidRPr="00C20C0B">
        <w:rPr>
          <w:rFonts w:ascii="Garamond" w:hAnsi="Garamond"/>
          <w:b/>
          <w:bCs/>
        </w:rPr>
        <w:t>Unité de la procédure de plainte</w:t>
      </w:r>
      <w:r w:rsidRPr="00C20C0B">
        <w:rPr>
          <w:rFonts w:ascii="Garamond" w:hAnsi="Garamond"/>
          <w:b/>
          <w:bCs/>
        </w:rPr>
        <w:br/>
        <w:t>Service du Conseil des droits de l’homme</w:t>
      </w:r>
      <w:r w:rsidRPr="00C20C0B">
        <w:rPr>
          <w:rFonts w:ascii="Garamond" w:hAnsi="Garamond"/>
          <w:b/>
          <w:bCs/>
        </w:rPr>
        <w:br/>
        <w:t>Haut-Commissariat des Nations Unies aux droits de l’homme</w:t>
      </w:r>
      <w:r w:rsidRPr="00C20C0B">
        <w:rPr>
          <w:rFonts w:ascii="Garamond" w:hAnsi="Garamond"/>
          <w:b/>
          <w:bCs/>
        </w:rPr>
        <w:br/>
        <w:t>Office des Nations Unies à Genève</w:t>
      </w:r>
      <w:r w:rsidRPr="00C20C0B">
        <w:rPr>
          <w:rFonts w:ascii="Garamond" w:hAnsi="Garamond"/>
          <w:b/>
          <w:bCs/>
        </w:rPr>
        <w:br/>
        <w:t>CH-1211 Genève 10, Suisse</w:t>
      </w:r>
      <w:r w:rsidRPr="00C20C0B">
        <w:rPr>
          <w:rFonts w:ascii="Garamond" w:hAnsi="Garamond"/>
          <w:b/>
          <w:bCs/>
        </w:rPr>
        <w:br/>
        <w:t>Fax : (41 22) 917 90 11</w:t>
      </w:r>
      <w:r w:rsidRPr="00C20C0B">
        <w:rPr>
          <w:rFonts w:ascii="Garamond" w:hAnsi="Garamond"/>
          <w:b/>
          <w:bCs/>
        </w:rPr>
        <w:br/>
        <w:t xml:space="preserve">Courriel : </w:t>
      </w:r>
      <w:hyperlink r:id="rId9" w:history="1">
        <w:r w:rsidRPr="00C20C0B">
          <w:rPr>
            <w:rStyle w:val="Lienhypertexte"/>
            <w:rFonts w:ascii="Garamond" w:hAnsi="Garamond"/>
            <w:b/>
            <w:bCs/>
          </w:rPr>
          <w:t>ohchr-cp@un.org</w:t>
        </w:r>
      </w:hyperlink>
    </w:p>
    <w:p w14:paraId="71EAB1F5" w14:textId="57C84081" w:rsidR="002B0036" w:rsidRDefault="002B0036" w:rsidP="002B0036">
      <w:pPr>
        <w:rPr>
          <w:rFonts w:ascii="Garamond" w:eastAsia="Times New Roman" w:hAnsi="Garamond" w:cs="Times New Roman"/>
          <w:lang w:eastAsia="fr-FR"/>
        </w:rPr>
      </w:pPr>
    </w:p>
    <w:p w14:paraId="385F7D17" w14:textId="2A77CE61" w:rsidR="001218B4" w:rsidRDefault="001218B4" w:rsidP="002B0036">
      <w:pPr>
        <w:rPr>
          <w:rFonts w:ascii="Garamond" w:eastAsia="Times New Roman" w:hAnsi="Garamond" w:cs="Times New Roman"/>
          <w:lang w:eastAsia="fr-FR"/>
        </w:rPr>
      </w:pPr>
      <w:r>
        <w:rPr>
          <w:rFonts w:ascii="Garamond" w:eastAsia="Times New Roman" w:hAnsi="Garamond" w:cs="Times New Roman"/>
          <w:lang w:eastAsia="fr-FR"/>
        </w:rPr>
        <w:t xml:space="preserve">Et vous trouverez ci-joint un exemple de formulaire </w:t>
      </w:r>
      <w:proofErr w:type="spellStart"/>
      <w:r>
        <w:rPr>
          <w:rFonts w:ascii="Garamond" w:eastAsia="Times New Roman" w:hAnsi="Garamond" w:cs="Times New Roman"/>
          <w:lang w:eastAsia="fr-FR"/>
        </w:rPr>
        <w:t>pré-rempli</w:t>
      </w:r>
      <w:proofErr w:type="spellEnd"/>
      <w:r>
        <w:rPr>
          <w:rFonts w:ascii="Garamond" w:eastAsia="Times New Roman" w:hAnsi="Garamond" w:cs="Times New Roman"/>
          <w:lang w:eastAsia="fr-FR"/>
        </w:rPr>
        <w:t xml:space="preserve"> à cet effet.</w:t>
      </w:r>
    </w:p>
    <w:p w14:paraId="51352838" w14:textId="7F54C308" w:rsidR="001218B4" w:rsidRDefault="001218B4" w:rsidP="002B0036">
      <w:pPr>
        <w:rPr>
          <w:rFonts w:ascii="Garamond" w:eastAsia="Times New Roman" w:hAnsi="Garamond" w:cs="Times New Roman"/>
          <w:lang w:eastAsia="fr-FR"/>
        </w:rPr>
      </w:pPr>
    </w:p>
    <w:p w14:paraId="71CB102D" w14:textId="77777777" w:rsidR="001218B4" w:rsidRDefault="001218B4" w:rsidP="002B0036"/>
    <w:p w14:paraId="6DA84938" w14:textId="77777777" w:rsidR="002B0036" w:rsidRPr="006E7C8B" w:rsidRDefault="002B0036" w:rsidP="00FA7F02">
      <w:pPr>
        <w:tabs>
          <w:tab w:val="left" w:pos="0"/>
        </w:tabs>
        <w:rPr>
          <w:rFonts w:ascii="Garamond" w:eastAsia="Times New Roman" w:hAnsi="Garamond" w:cs="Times New Roman"/>
          <w:lang w:eastAsia="fr-FR"/>
        </w:rPr>
      </w:pPr>
    </w:p>
    <w:sectPr w:rsidR="002B0036" w:rsidRPr="006E7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FEA5" w14:textId="77777777" w:rsidR="007301EF" w:rsidRDefault="007301EF" w:rsidP="0028165F">
      <w:r>
        <w:separator/>
      </w:r>
    </w:p>
  </w:endnote>
  <w:endnote w:type="continuationSeparator" w:id="0">
    <w:p w14:paraId="429F39C4" w14:textId="77777777" w:rsidR="007301EF" w:rsidRDefault="007301EF" w:rsidP="0028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D9F4" w14:textId="77777777" w:rsidR="007301EF" w:rsidRDefault="007301EF" w:rsidP="0028165F">
      <w:r>
        <w:separator/>
      </w:r>
    </w:p>
  </w:footnote>
  <w:footnote w:type="continuationSeparator" w:id="0">
    <w:p w14:paraId="1AA7CB90" w14:textId="77777777" w:rsidR="007301EF" w:rsidRDefault="007301EF" w:rsidP="0028165F">
      <w:r>
        <w:continuationSeparator/>
      </w:r>
    </w:p>
  </w:footnote>
  <w:footnote w:id="1">
    <w:p w14:paraId="39404DAA" w14:textId="0E569173" w:rsidR="0028165F" w:rsidRDefault="0028165F">
      <w:pPr>
        <w:pStyle w:val="Notedebasdepage"/>
      </w:pPr>
      <w:r>
        <w:rPr>
          <w:rStyle w:val="Appelnotedebasdep"/>
        </w:rPr>
        <w:footnoteRef/>
      </w:r>
      <w:r>
        <w:t xml:space="preserve"> </w:t>
      </w:r>
      <w:r w:rsidRPr="0028165F">
        <w:rPr>
          <w:rFonts w:ascii="Garamond" w:hAnsi="Garamond"/>
        </w:rPr>
        <w:t>https://www.who.int/fr/director-general/speeches/detail/who-director-general-s-opening-remarks-at-the-13th-meeting-of-the-ihr-emergency-committee-on-covid-19-pandemic---13-october-2022</w:t>
      </w:r>
    </w:p>
  </w:footnote>
  <w:footnote w:id="2">
    <w:p w14:paraId="5D3FD3D9" w14:textId="3FDD1902" w:rsidR="0055425A" w:rsidRDefault="0055425A">
      <w:pPr>
        <w:pStyle w:val="Notedebasdepage"/>
      </w:pPr>
      <w:r>
        <w:rPr>
          <w:rStyle w:val="Appelnotedebasdep"/>
        </w:rPr>
        <w:footnoteRef/>
      </w:r>
      <w:r>
        <w:t xml:space="preserve"> </w:t>
      </w:r>
      <w:hyperlink r:id="rId1" w:history="1">
        <w:r w:rsidRPr="0055425A">
          <w:rPr>
            <w:rFonts w:ascii="Garamond" w:eastAsia="Times New Roman" w:hAnsi="Garamond"/>
            <w:sz w:val="22"/>
            <w:szCs w:val="22"/>
          </w:rPr>
          <w:t>https://www.ohchr.org/fr/hr-bodies/hrc/complaint-procedure/hrc-complaint-procedure-index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20C"/>
    <w:multiLevelType w:val="multilevel"/>
    <w:tmpl w:val="4E4630D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6C0526"/>
    <w:multiLevelType w:val="hybridMultilevel"/>
    <w:tmpl w:val="5EF8A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57637"/>
    <w:multiLevelType w:val="hybridMultilevel"/>
    <w:tmpl w:val="B7802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935C0"/>
    <w:multiLevelType w:val="hybridMultilevel"/>
    <w:tmpl w:val="98FEA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D014B2"/>
    <w:multiLevelType w:val="multilevel"/>
    <w:tmpl w:val="335C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F6B8E"/>
    <w:multiLevelType w:val="multilevel"/>
    <w:tmpl w:val="B5FE58CE"/>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6" w15:restartNumberingAfterBreak="0">
    <w:nsid w:val="3CAD7C98"/>
    <w:multiLevelType w:val="hybridMultilevel"/>
    <w:tmpl w:val="6358BFB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7" w15:restartNumberingAfterBreak="0">
    <w:nsid w:val="492E32B1"/>
    <w:multiLevelType w:val="hybridMultilevel"/>
    <w:tmpl w:val="E96C5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150935"/>
    <w:multiLevelType w:val="multilevel"/>
    <w:tmpl w:val="B5FE58CE"/>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9" w15:restartNumberingAfterBreak="0">
    <w:nsid w:val="61DE5809"/>
    <w:multiLevelType w:val="hybridMultilevel"/>
    <w:tmpl w:val="98FEA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024D83"/>
    <w:multiLevelType w:val="multilevel"/>
    <w:tmpl w:val="1BD2C816"/>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B644C"/>
    <w:multiLevelType w:val="hybridMultilevel"/>
    <w:tmpl w:val="1C20791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7F3133F"/>
    <w:multiLevelType w:val="multilevel"/>
    <w:tmpl w:val="B5FE58CE"/>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13" w15:restartNumberingAfterBreak="0">
    <w:nsid w:val="71BD31AB"/>
    <w:multiLevelType w:val="multilevel"/>
    <w:tmpl w:val="B5FE58CE"/>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num w:numId="1" w16cid:durableId="221910732">
    <w:abstractNumId w:val="8"/>
  </w:num>
  <w:num w:numId="2" w16cid:durableId="1116095631">
    <w:abstractNumId w:val="3"/>
  </w:num>
  <w:num w:numId="3" w16cid:durableId="1194999445">
    <w:abstractNumId w:val="2"/>
  </w:num>
  <w:num w:numId="4" w16cid:durableId="2129276441">
    <w:abstractNumId w:val="6"/>
  </w:num>
  <w:num w:numId="5" w16cid:durableId="419496942">
    <w:abstractNumId w:val="11"/>
  </w:num>
  <w:num w:numId="6" w16cid:durableId="1335062767">
    <w:abstractNumId w:val="7"/>
  </w:num>
  <w:num w:numId="7" w16cid:durableId="726415703">
    <w:abstractNumId w:val="1"/>
  </w:num>
  <w:num w:numId="8" w16cid:durableId="530191854">
    <w:abstractNumId w:val="9"/>
  </w:num>
  <w:num w:numId="9" w16cid:durableId="741100153">
    <w:abstractNumId w:val="13"/>
  </w:num>
  <w:num w:numId="10" w16cid:durableId="312756216">
    <w:abstractNumId w:val="0"/>
  </w:num>
  <w:num w:numId="11" w16cid:durableId="95178519">
    <w:abstractNumId w:val="5"/>
  </w:num>
  <w:num w:numId="12" w16cid:durableId="505366858">
    <w:abstractNumId w:val="4"/>
  </w:num>
  <w:num w:numId="13" w16cid:durableId="1889801267">
    <w:abstractNumId w:val="10"/>
  </w:num>
  <w:num w:numId="14" w16cid:durableId="189681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E5"/>
    <w:rsid w:val="0005329C"/>
    <w:rsid w:val="001218B4"/>
    <w:rsid w:val="0028165F"/>
    <w:rsid w:val="002B0036"/>
    <w:rsid w:val="003018E5"/>
    <w:rsid w:val="004963F0"/>
    <w:rsid w:val="004E0319"/>
    <w:rsid w:val="0053590F"/>
    <w:rsid w:val="0055425A"/>
    <w:rsid w:val="006E7C8B"/>
    <w:rsid w:val="007301EF"/>
    <w:rsid w:val="00746427"/>
    <w:rsid w:val="007E7678"/>
    <w:rsid w:val="00902C2D"/>
    <w:rsid w:val="00BE5EBA"/>
    <w:rsid w:val="00C20C0B"/>
    <w:rsid w:val="00CC5C1F"/>
    <w:rsid w:val="00D1730E"/>
    <w:rsid w:val="00E94DC9"/>
    <w:rsid w:val="00EE6F98"/>
    <w:rsid w:val="00EF360D"/>
    <w:rsid w:val="00FA3CE0"/>
    <w:rsid w:val="00FA7F02"/>
    <w:rsid w:val="00FD6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3B9B"/>
  <w15:chartTrackingRefBased/>
  <w15:docId w15:val="{6FCCB1E2-D469-F346-B9C8-8C4ED4BE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6F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E6F9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0319"/>
    <w:pPr>
      <w:ind w:left="720"/>
      <w:contextualSpacing/>
    </w:pPr>
  </w:style>
  <w:style w:type="paragraph" w:customStyle="1" w:styleId="DZAppoasis-headersectiondefinitionp">
    <w:name w:val="DZApp_oasis-header_section_definition_p"/>
    <w:basedOn w:val="Normal"/>
    <w:rsid w:val="004E0319"/>
    <w:rPr>
      <w:rFonts w:ascii="Times New Roman" w:eastAsia="Times New Roman" w:hAnsi="Times New Roman" w:cs="Times New Roman"/>
      <w:lang w:eastAsia="fr-FR"/>
    </w:rPr>
  </w:style>
  <w:style w:type="paragraph" w:customStyle="1" w:styleId="DZAppany">
    <w:name w:val="DZApp_any"/>
    <w:basedOn w:val="Normal"/>
    <w:rsid w:val="00EF360D"/>
    <w:rPr>
      <w:rFonts w:ascii="Times New Roman" w:eastAsia="Times New Roman" w:hAnsi="Times New Roman" w:cs="Times New Roman"/>
      <w:lang w:eastAsia="fr-FR"/>
    </w:rPr>
  </w:style>
  <w:style w:type="character" w:customStyle="1" w:styleId="DZAppanyCharacter">
    <w:name w:val="DZApp_any Character"/>
    <w:basedOn w:val="Policepardfaut"/>
    <w:rsid w:val="00EF360D"/>
    <w:rPr>
      <w:bdr w:val="none" w:sz="0" w:space="0" w:color="auto"/>
    </w:rPr>
  </w:style>
  <w:style w:type="paragraph" w:customStyle="1" w:styleId="DZAppoasis-mainh2">
    <w:name w:val="DZApp_oasis-main_h2"/>
    <w:basedOn w:val="Normal"/>
    <w:rsid w:val="00EF360D"/>
    <w:rPr>
      <w:rFonts w:ascii="Times New Roman" w:eastAsia="Times New Roman" w:hAnsi="Times New Roman" w:cs="Times New Roman"/>
      <w:sz w:val="48"/>
      <w:szCs w:val="48"/>
      <w:lang w:eastAsia="fr-FR"/>
    </w:rPr>
  </w:style>
  <w:style w:type="character" w:customStyle="1" w:styleId="DZAppoasis-mainh2Character">
    <w:name w:val="DZApp_oasis-main_h2 Character"/>
    <w:basedOn w:val="Policepardfaut"/>
    <w:rsid w:val="00EF360D"/>
    <w:rPr>
      <w:sz w:val="48"/>
      <w:szCs w:val="48"/>
    </w:rPr>
  </w:style>
  <w:style w:type="paragraph" w:customStyle="1" w:styleId="DZAppoasis-mainh3">
    <w:name w:val="DZApp_oasis-main_h3"/>
    <w:basedOn w:val="Normal"/>
    <w:rsid w:val="00EF360D"/>
    <w:rPr>
      <w:rFonts w:ascii="Times New Roman" w:eastAsia="Times New Roman" w:hAnsi="Times New Roman" w:cs="Times New Roman"/>
      <w:color w:val="B8252A"/>
      <w:sz w:val="36"/>
      <w:szCs w:val="36"/>
      <w:lang w:eastAsia="fr-FR"/>
    </w:rPr>
  </w:style>
  <w:style w:type="character" w:customStyle="1" w:styleId="DZAppoasis-mainh3Character">
    <w:name w:val="DZApp_oasis-main_h3 Character"/>
    <w:basedOn w:val="Policepardfaut"/>
    <w:rsid w:val="00EF360D"/>
    <w:rPr>
      <w:color w:val="B8252A"/>
      <w:sz w:val="36"/>
      <w:szCs w:val="36"/>
    </w:rPr>
  </w:style>
  <w:style w:type="character" w:styleId="lev">
    <w:name w:val="Strong"/>
    <w:basedOn w:val="Policepardfaut"/>
    <w:uiPriority w:val="22"/>
    <w:qFormat/>
    <w:rsid w:val="0053590F"/>
    <w:rPr>
      <w:b/>
      <w:bCs/>
    </w:rPr>
  </w:style>
  <w:style w:type="character" w:customStyle="1" w:styleId="Aucun">
    <w:name w:val="Aucun"/>
    <w:rsid w:val="0028165F"/>
  </w:style>
  <w:style w:type="paragraph" w:styleId="Notedebasdepage">
    <w:name w:val="footnote text"/>
    <w:basedOn w:val="Normal"/>
    <w:link w:val="NotedebasdepageCar"/>
    <w:unhideWhenUsed/>
    <w:rsid w:val="0028165F"/>
    <w:rPr>
      <w:rFonts w:ascii="Cambria" w:eastAsia="MS Mincho" w:hAnsi="Cambria" w:cs="Times New Roman"/>
      <w:sz w:val="20"/>
      <w:szCs w:val="20"/>
      <w:lang w:eastAsia="fr-FR"/>
    </w:rPr>
  </w:style>
  <w:style w:type="character" w:customStyle="1" w:styleId="NotedebasdepageCar">
    <w:name w:val="Note de bas de page Car"/>
    <w:basedOn w:val="Policepardfaut"/>
    <w:link w:val="Notedebasdepage"/>
    <w:rsid w:val="0028165F"/>
    <w:rPr>
      <w:rFonts w:ascii="Cambria" w:eastAsia="MS Mincho" w:hAnsi="Cambria" w:cs="Times New Roman"/>
      <w:sz w:val="20"/>
      <w:szCs w:val="20"/>
      <w:lang w:eastAsia="fr-FR"/>
    </w:rPr>
  </w:style>
  <w:style w:type="character" w:styleId="Appelnotedebasdep">
    <w:name w:val="footnote reference"/>
    <w:basedOn w:val="Policepardfaut"/>
    <w:uiPriority w:val="99"/>
    <w:semiHidden/>
    <w:unhideWhenUsed/>
    <w:rsid w:val="0028165F"/>
    <w:rPr>
      <w:vertAlign w:val="superscript"/>
    </w:rPr>
  </w:style>
  <w:style w:type="paragraph" w:styleId="Retraitcorpsdetexte">
    <w:name w:val="Body Text Indent"/>
    <w:basedOn w:val="Normal"/>
    <w:link w:val="RetraitcorpsdetexteCar"/>
    <w:uiPriority w:val="99"/>
    <w:unhideWhenUsed/>
    <w:rsid w:val="0028165F"/>
    <w:pPr>
      <w:spacing w:after="120"/>
      <w:ind w:left="283"/>
    </w:pPr>
    <w:rPr>
      <w:rFonts w:ascii="Cambria" w:eastAsia="MS Mincho" w:hAnsi="Cambria" w:cs="Times New Roman"/>
      <w:lang w:eastAsia="fr-FR"/>
    </w:rPr>
  </w:style>
  <w:style w:type="character" w:customStyle="1" w:styleId="RetraitcorpsdetexteCar">
    <w:name w:val="Retrait corps de texte Car"/>
    <w:basedOn w:val="Policepardfaut"/>
    <w:link w:val="Retraitcorpsdetexte"/>
    <w:uiPriority w:val="99"/>
    <w:rsid w:val="0028165F"/>
    <w:rPr>
      <w:rFonts w:ascii="Cambria" w:eastAsia="MS Mincho" w:hAnsi="Cambria" w:cs="Times New Roman"/>
      <w:lang w:eastAsia="fr-FR"/>
    </w:rPr>
  </w:style>
  <w:style w:type="character" w:customStyle="1" w:styleId="Titre2Car">
    <w:name w:val="Titre 2 Car"/>
    <w:basedOn w:val="Policepardfaut"/>
    <w:link w:val="Titre2"/>
    <w:uiPriority w:val="9"/>
    <w:rsid w:val="00EE6F9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E6F98"/>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EE6F9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6E7C8B"/>
    <w:rPr>
      <w:color w:val="0000FF"/>
      <w:u w:val="single"/>
    </w:rPr>
  </w:style>
  <w:style w:type="paragraph" w:customStyle="1" w:styleId="mb0-5">
    <w:name w:val="mb0-5"/>
    <w:basedOn w:val="Normal"/>
    <w:rsid w:val="006E7C8B"/>
    <w:pPr>
      <w:spacing w:before="100" w:beforeAutospacing="1" w:after="100" w:afterAutospacing="1"/>
    </w:pPr>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55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9371">
      <w:bodyDiv w:val="1"/>
      <w:marLeft w:val="0"/>
      <w:marRight w:val="0"/>
      <w:marTop w:val="0"/>
      <w:marBottom w:val="0"/>
      <w:divBdr>
        <w:top w:val="none" w:sz="0" w:space="0" w:color="auto"/>
        <w:left w:val="none" w:sz="0" w:space="0" w:color="auto"/>
        <w:bottom w:val="none" w:sz="0" w:space="0" w:color="auto"/>
        <w:right w:val="none" w:sz="0" w:space="0" w:color="auto"/>
      </w:divBdr>
      <w:divsChild>
        <w:div w:id="523325420">
          <w:marLeft w:val="0"/>
          <w:marRight w:val="0"/>
          <w:marTop w:val="0"/>
          <w:marBottom w:val="0"/>
          <w:divBdr>
            <w:top w:val="none" w:sz="0" w:space="0" w:color="auto"/>
            <w:left w:val="none" w:sz="0" w:space="0" w:color="auto"/>
            <w:bottom w:val="none" w:sz="0" w:space="0" w:color="auto"/>
            <w:right w:val="none" w:sz="0" w:space="0" w:color="auto"/>
          </w:divBdr>
        </w:div>
        <w:div w:id="30690567">
          <w:marLeft w:val="0"/>
          <w:marRight w:val="0"/>
          <w:marTop w:val="0"/>
          <w:marBottom w:val="0"/>
          <w:divBdr>
            <w:top w:val="none" w:sz="0" w:space="0" w:color="auto"/>
            <w:left w:val="none" w:sz="0" w:space="0" w:color="auto"/>
            <w:bottom w:val="none" w:sz="0" w:space="0" w:color="auto"/>
            <w:right w:val="none" w:sz="0" w:space="0" w:color="auto"/>
          </w:divBdr>
          <w:divsChild>
            <w:div w:id="1762140799">
              <w:marLeft w:val="0"/>
              <w:marRight w:val="0"/>
              <w:marTop w:val="0"/>
              <w:marBottom w:val="0"/>
              <w:divBdr>
                <w:top w:val="none" w:sz="0" w:space="0" w:color="auto"/>
                <w:left w:val="none" w:sz="0" w:space="0" w:color="auto"/>
                <w:bottom w:val="none" w:sz="0" w:space="0" w:color="auto"/>
                <w:right w:val="none" w:sz="0" w:space="0" w:color="auto"/>
              </w:divBdr>
              <w:divsChild>
                <w:div w:id="606423785">
                  <w:marLeft w:val="0"/>
                  <w:marRight w:val="0"/>
                  <w:marTop w:val="0"/>
                  <w:marBottom w:val="0"/>
                  <w:divBdr>
                    <w:top w:val="none" w:sz="0" w:space="0" w:color="auto"/>
                    <w:left w:val="none" w:sz="0" w:space="0" w:color="auto"/>
                    <w:bottom w:val="none" w:sz="0" w:space="0" w:color="auto"/>
                    <w:right w:val="none" w:sz="0" w:space="0" w:color="auto"/>
                  </w:divBdr>
                  <w:divsChild>
                    <w:div w:id="1121386864">
                      <w:marLeft w:val="0"/>
                      <w:marRight w:val="0"/>
                      <w:marTop w:val="0"/>
                      <w:marBottom w:val="0"/>
                      <w:divBdr>
                        <w:top w:val="none" w:sz="0" w:space="0" w:color="auto"/>
                        <w:left w:val="none" w:sz="0" w:space="0" w:color="auto"/>
                        <w:bottom w:val="none" w:sz="0" w:space="0" w:color="auto"/>
                        <w:right w:val="none" w:sz="0" w:space="0" w:color="auto"/>
                      </w:divBdr>
                      <w:divsChild>
                        <w:div w:id="8773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20365">
      <w:bodyDiv w:val="1"/>
      <w:marLeft w:val="0"/>
      <w:marRight w:val="0"/>
      <w:marTop w:val="0"/>
      <w:marBottom w:val="0"/>
      <w:divBdr>
        <w:top w:val="none" w:sz="0" w:space="0" w:color="auto"/>
        <w:left w:val="none" w:sz="0" w:space="0" w:color="auto"/>
        <w:bottom w:val="none" w:sz="0" w:space="0" w:color="auto"/>
        <w:right w:val="none" w:sz="0" w:space="0" w:color="auto"/>
      </w:divBdr>
      <w:divsChild>
        <w:div w:id="509300749">
          <w:marLeft w:val="0"/>
          <w:marRight w:val="0"/>
          <w:marTop w:val="0"/>
          <w:marBottom w:val="0"/>
          <w:divBdr>
            <w:top w:val="none" w:sz="0" w:space="0" w:color="auto"/>
            <w:left w:val="none" w:sz="0" w:space="0" w:color="auto"/>
            <w:bottom w:val="none" w:sz="0" w:space="0" w:color="auto"/>
            <w:right w:val="none" w:sz="0" w:space="0" w:color="auto"/>
          </w:divBdr>
          <w:divsChild>
            <w:div w:id="2019891012">
              <w:marLeft w:val="0"/>
              <w:marRight w:val="0"/>
              <w:marTop w:val="0"/>
              <w:marBottom w:val="0"/>
              <w:divBdr>
                <w:top w:val="none" w:sz="0" w:space="0" w:color="auto"/>
                <w:left w:val="none" w:sz="0" w:space="0" w:color="auto"/>
                <w:bottom w:val="none" w:sz="0" w:space="0" w:color="auto"/>
                <w:right w:val="none" w:sz="0" w:space="0" w:color="auto"/>
              </w:divBdr>
              <w:divsChild>
                <w:div w:id="732775569">
                  <w:marLeft w:val="0"/>
                  <w:marRight w:val="0"/>
                  <w:marTop w:val="0"/>
                  <w:marBottom w:val="0"/>
                  <w:divBdr>
                    <w:top w:val="none" w:sz="0" w:space="0" w:color="auto"/>
                    <w:left w:val="none" w:sz="0" w:space="0" w:color="auto"/>
                    <w:bottom w:val="none" w:sz="0" w:space="0" w:color="auto"/>
                    <w:right w:val="none" w:sz="0" w:space="0" w:color="auto"/>
                  </w:divBdr>
                  <w:divsChild>
                    <w:div w:id="816800265">
                      <w:marLeft w:val="0"/>
                      <w:marRight w:val="0"/>
                      <w:marTop w:val="0"/>
                      <w:marBottom w:val="0"/>
                      <w:divBdr>
                        <w:top w:val="none" w:sz="0" w:space="0" w:color="auto"/>
                        <w:left w:val="none" w:sz="0" w:space="0" w:color="auto"/>
                        <w:bottom w:val="none" w:sz="0" w:space="0" w:color="auto"/>
                        <w:right w:val="none" w:sz="0" w:space="0" w:color="auto"/>
                      </w:divBdr>
                      <w:divsChild>
                        <w:div w:id="1028600466">
                          <w:marLeft w:val="0"/>
                          <w:marRight w:val="0"/>
                          <w:marTop w:val="0"/>
                          <w:marBottom w:val="0"/>
                          <w:divBdr>
                            <w:top w:val="none" w:sz="0" w:space="0" w:color="auto"/>
                            <w:left w:val="none" w:sz="0" w:space="0" w:color="auto"/>
                            <w:bottom w:val="none" w:sz="0" w:space="0" w:color="auto"/>
                            <w:right w:val="none" w:sz="0" w:space="0" w:color="auto"/>
                          </w:divBdr>
                          <w:divsChild>
                            <w:div w:id="1506364656">
                              <w:marLeft w:val="0"/>
                              <w:marRight w:val="0"/>
                              <w:marTop w:val="0"/>
                              <w:marBottom w:val="0"/>
                              <w:divBdr>
                                <w:top w:val="none" w:sz="0" w:space="0" w:color="auto"/>
                                <w:left w:val="none" w:sz="0" w:space="0" w:color="auto"/>
                                <w:bottom w:val="none" w:sz="0" w:space="0" w:color="auto"/>
                                <w:right w:val="none" w:sz="0" w:space="0" w:color="auto"/>
                              </w:divBdr>
                              <w:divsChild>
                                <w:div w:id="1249341143">
                                  <w:marLeft w:val="0"/>
                                  <w:marRight w:val="0"/>
                                  <w:marTop w:val="0"/>
                                  <w:marBottom w:val="0"/>
                                  <w:divBdr>
                                    <w:top w:val="none" w:sz="0" w:space="0" w:color="auto"/>
                                    <w:left w:val="none" w:sz="0" w:space="0" w:color="auto"/>
                                    <w:bottom w:val="none" w:sz="0" w:space="0" w:color="auto"/>
                                    <w:right w:val="none" w:sz="0" w:space="0" w:color="auto"/>
                                  </w:divBdr>
                                  <w:divsChild>
                                    <w:div w:id="6887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603622">
      <w:bodyDiv w:val="1"/>
      <w:marLeft w:val="0"/>
      <w:marRight w:val="0"/>
      <w:marTop w:val="0"/>
      <w:marBottom w:val="0"/>
      <w:divBdr>
        <w:top w:val="none" w:sz="0" w:space="0" w:color="auto"/>
        <w:left w:val="none" w:sz="0" w:space="0" w:color="auto"/>
        <w:bottom w:val="none" w:sz="0" w:space="0" w:color="auto"/>
        <w:right w:val="none" w:sz="0" w:space="0" w:color="auto"/>
      </w:divBdr>
      <w:divsChild>
        <w:div w:id="692223159">
          <w:marLeft w:val="0"/>
          <w:marRight w:val="0"/>
          <w:marTop w:val="0"/>
          <w:marBottom w:val="0"/>
          <w:divBdr>
            <w:top w:val="none" w:sz="0" w:space="0" w:color="auto"/>
            <w:left w:val="none" w:sz="0" w:space="0" w:color="auto"/>
            <w:bottom w:val="none" w:sz="0" w:space="0" w:color="auto"/>
            <w:right w:val="none" w:sz="0" w:space="0" w:color="auto"/>
          </w:divBdr>
          <w:divsChild>
            <w:div w:id="2100901075">
              <w:marLeft w:val="0"/>
              <w:marRight w:val="0"/>
              <w:marTop w:val="0"/>
              <w:marBottom w:val="0"/>
              <w:divBdr>
                <w:top w:val="none" w:sz="0" w:space="0" w:color="auto"/>
                <w:left w:val="none" w:sz="0" w:space="0" w:color="auto"/>
                <w:bottom w:val="none" w:sz="0" w:space="0" w:color="auto"/>
                <w:right w:val="none" w:sz="0" w:space="0" w:color="auto"/>
              </w:divBdr>
              <w:divsChild>
                <w:div w:id="1483623189">
                  <w:marLeft w:val="0"/>
                  <w:marRight w:val="0"/>
                  <w:marTop w:val="0"/>
                  <w:marBottom w:val="0"/>
                  <w:divBdr>
                    <w:top w:val="none" w:sz="0" w:space="0" w:color="auto"/>
                    <w:left w:val="none" w:sz="0" w:space="0" w:color="auto"/>
                    <w:bottom w:val="none" w:sz="0" w:space="0" w:color="auto"/>
                    <w:right w:val="none" w:sz="0" w:space="0" w:color="auto"/>
                  </w:divBdr>
                  <w:divsChild>
                    <w:div w:id="1990592031">
                      <w:marLeft w:val="0"/>
                      <w:marRight w:val="0"/>
                      <w:marTop w:val="0"/>
                      <w:marBottom w:val="0"/>
                      <w:divBdr>
                        <w:top w:val="none" w:sz="0" w:space="0" w:color="auto"/>
                        <w:left w:val="none" w:sz="0" w:space="0" w:color="auto"/>
                        <w:bottom w:val="none" w:sz="0" w:space="0" w:color="auto"/>
                        <w:right w:val="none" w:sz="0" w:space="0" w:color="auto"/>
                      </w:divBdr>
                      <w:divsChild>
                        <w:div w:id="699161019">
                          <w:marLeft w:val="0"/>
                          <w:marRight w:val="0"/>
                          <w:marTop w:val="0"/>
                          <w:marBottom w:val="0"/>
                          <w:divBdr>
                            <w:top w:val="none" w:sz="0" w:space="0" w:color="auto"/>
                            <w:left w:val="none" w:sz="0" w:space="0" w:color="auto"/>
                            <w:bottom w:val="none" w:sz="0" w:space="0" w:color="auto"/>
                            <w:right w:val="none" w:sz="0" w:space="0" w:color="auto"/>
                          </w:divBdr>
                          <w:divsChild>
                            <w:div w:id="771702496">
                              <w:marLeft w:val="0"/>
                              <w:marRight w:val="0"/>
                              <w:marTop w:val="0"/>
                              <w:marBottom w:val="0"/>
                              <w:divBdr>
                                <w:top w:val="none" w:sz="0" w:space="0" w:color="auto"/>
                                <w:left w:val="none" w:sz="0" w:space="0" w:color="auto"/>
                                <w:bottom w:val="none" w:sz="0" w:space="0" w:color="auto"/>
                                <w:right w:val="none" w:sz="0" w:space="0" w:color="auto"/>
                              </w:divBdr>
                              <w:divsChild>
                                <w:div w:id="345179795">
                                  <w:marLeft w:val="0"/>
                                  <w:marRight w:val="0"/>
                                  <w:marTop w:val="0"/>
                                  <w:marBottom w:val="0"/>
                                  <w:divBdr>
                                    <w:top w:val="none" w:sz="0" w:space="0" w:color="auto"/>
                                    <w:left w:val="none" w:sz="0" w:space="0" w:color="auto"/>
                                    <w:bottom w:val="none" w:sz="0" w:space="0" w:color="auto"/>
                                    <w:right w:val="none" w:sz="0" w:space="0" w:color="auto"/>
                                  </w:divBdr>
                                  <w:divsChild>
                                    <w:div w:id="21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464217">
      <w:bodyDiv w:val="1"/>
      <w:marLeft w:val="0"/>
      <w:marRight w:val="0"/>
      <w:marTop w:val="0"/>
      <w:marBottom w:val="0"/>
      <w:divBdr>
        <w:top w:val="none" w:sz="0" w:space="0" w:color="auto"/>
        <w:left w:val="none" w:sz="0" w:space="0" w:color="auto"/>
        <w:bottom w:val="none" w:sz="0" w:space="0" w:color="auto"/>
        <w:right w:val="none" w:sz="0" w:space="0" w:color="auto"/>
      </w:divBdr>
      <w:divsChild>
        <w:div w:id="214440202">
          <w:marLeft w:val="0"/>
          <w:marRight w:val="0"/>
          <w:marTop w:val="0"/>
          <w:marBottom w:val="0"/>
          <w:divBdr>
            <w:top w:val="none" w:sz="0" w:space="0" w:color="auto"/>
            <w:left w:val="none" w:sz="0" w:space="0" w:color="auto"/>
            <w:bottom w:val="none" w:sz="0" w:space="0" w:color="auto"/>
            <w:right w:val="none" w:sz="0" w:space="0" w:color="auto"/>
          </w:divBdr>
          <w:divsChild>
            <w:div w:id="1345129356">
              <w:marLeft w:val="0"/>
              <w:marRight w:val="0"/>
              <w:marTop w:val="0"/>
              <w:marBottom w:val="0"/>
              <w:divBdr>
                <w:top w:val="none" w:sz="0" w:space="0" w:color="auto"/>
                <w:left w:val="none" w:sz="0" w:space="0" w:color="auto"/>
                <w:bottom w:val="none" w:sz="0" w:space="0" w:color="auto"/>
                <w:right w:val="none" w:sz="0" w:space="0" w:color="auto"/>
              </w:divBdr>
              <w:divsChild>
                <w:div w:id="1005472932">
                  <w:marLeft w:val="0"/>
                  <w:marRight w:val="0"/>
                  <w:marTop w:val="0"/>
                  <w:marBottom w:val="0"/>
                  <w:divBdr>
                    <w:top w:val="none" w:sz="0" w:space="0" w:color="auto"/>
                    <w:left w:val="none" w:sz="0" w:space="0" w:color="auto"/>
                    <w:bottom w:val="none" w:sz="0" w:space="0" w:color="auto"/>
                    <w:right w:val="none" w:sz="0" w:space="0" w:color="auto"/>
                  </w:divBdr>
                  <w:divsChild>
                    <w:div w:id="714617541">
                      <w:marLeft w:val="0"/>
                      <w:marRight w:val="0"/>
                      <w:marTop w:val="0"/>
                      <w:marBottom w:val="0"/>
                      <w:divBdr>
                        <w:top w:val="none" w:sz="0" w:space="0" w:color="auto"/>
                        <w:left w:val="none" w:sz="0" w:space="0" w:color="auto"/>
                        <w:bottom w:val="none" w:sz="0" w:space="0" w:color="auto"/>
                        <w:right w:val="none" w:sz="0" w:space="0" w:color="auto"/>
                      </w:divBdr>
                      <w:divsChild>
                        <w:div w:id="785002280">
                          <w:marLeft w:val="0"/>
                          <w:marRight w:val="0"/>
                          <w:marTop w:val="0"/>
                          <w:marBottom w:val="0"/>
                          <w:divBdr>
                            <w:top w:val="none" w:sz="0" w:space="0" w:color="auto"/>
                            <w:left w:val="none" w:sz="0" w:space="0" w:color="auto"/>
                            <w:bottom w:val="none" w:sz="0" w:space="0" w:color="auto"/>
                            <w:right w:val="none" w:sz="0" w:space="0" w:color="auto"/>
                          </w:divBdr>
                          <w:divsChild>
                            <w:div w:id="1083140972">
                              <w:marLeft w:val="0"/>
                              <w:marRight w:val="0"/>
                              <w:marTop w:val="0"/>
                              <w:marBottom w:val="0"/>
                              <w:divBdr>
                                <w:top w:val="none" w:sz="0" w:space="0" w:color="auto"/>
                                <w:left w:val="none" w:sz="0" w:space="0" w:color="auto"/>
                                <w:bottom w:val="none" w:sz="0" w:space="0" w:color="auto"/>
                                <w:right w:val="none" w:sz="0" w:space="0" w:color="auto"/>
                              </w:divBdr>
                              <w:divsChild>
                                <w:div w:id="386150875">
                                  <w:marLeft w:val="0"/>
                                  <w:marRight w:val="0"/>
                                  <w:marTop w:val="0"/>
                                  <w:marBottom w:val="0"/>
                                  <w:divBdr>
                                    <w:top w:val="none" w:sz="0" w:space="0" w:color="auto"/>
                                    <w:left w:val="none" w:sz="0" w:space="0" w:color="auto"/>
                                    <w:bottom w:val="none" w:sz="0" w:space="0" w:color="auto"/>
                                    <w:right w:val="none" w:sz="0" w:space="0" w:color="auto"/>
                                  </w:divBdr>
                                  <w:divsChild>
                                    <w:div w:id="6529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831389">
      <w:bodyDiv w:val="1"/>
      <w:marLeft w:val="0"/>
      <w:marRight w:val="0"/>
      <w:marTop w:val="0"/>
      <w:marBottom w:val="0"/>
      <w:divBdr>
        <w:top w:val="none" w:sz="0" w:space="0" w:color="auto"/>
        <w:left w:val="none" w:sz="0" w:space="0" w:color="auto"/>
        <w:bottom w:val="none" w:sz="0" w:space="0" w:color="auto"/>
        <w:right w:val="none" w:sz="0" w:space="0" w:color="auto"/>
      </w:divBdr>
      <w:divsChild>
        <w:div w:id="1660814978">
          <w:marLeft w:val="0"/>
          <w:marRight w:val="0"/>
          <w:marTop w:val="0"/>
          <w:marBottom w:val="0"/>
          <w:divBdr>
            <w:top w:val="none" w:sz="0" w:space="0" w:color="auto"/>
            <w:left w:val="none" w:sz="0" w:space="0" w:color="auto"/>
            <w:bottom w:val="none" w:sz="0" w:space="0" w:color="auto"/>
            <w:right w:val="none" w:sz="0" w:space="0" w:color="auto"/>
          </w:divBdr>
          <w:divsChild>
            <w:div w:id="1490295052">
              <w:marLeft w:val="0"/>
              <w:marRight w:val="0"/>
              <w:marTop w:val="0"/>
              <w:marBottom w:val="0"/>
              <w:divBdr>
                <w:top w:val="none" w:sz="0" w:space="0" w:color="auto"/>
                <w:left w:val="none" w:sz="0" w:space="0" w:color="auto"/>
                <w:bottom w:val="none" w:sz="0" w:space="0" w:color="auto"/>
                <w:right w:val="none" w:sz="0" w:space="0" w:color="auto"/>
              </w:divBdr>
              <w:divsChild>
                <w:div w:id="906889005">
                  <w:marLeft w:val="0"/>
                  <w:marRight w:val="0"/>
                  <w:marTop w:val="0"/>
                  <w:marBottom w:val="0"/>
                  <w:divBdr>
                    <w:top w:val="none" w:sz="0" w:space="0" w:color="auto"/>
                    <w:left w:val="none" w:sz="0" w:space="0" w:color="auto"/>
                    <w:bottom w:val="none" w:sz="0" w:space="0" w:color="auto"/>
                    <w:right w:val="none" w:sz="0" w:space="0" w:color="auto"/>
                  </w:divBdr>
                  <w:divsChild>
                    <w:div w:id="517738588">
                      <w:marLeft w:val="0"/>
                      <w:marRight w:val="0"/>
                      <w:marTop w:val="0"/>
                      <w:marBottom w:val="0"/>
                      <w:divBdr>
                        <w:top w:val="none" w:sz="0" w:space="0" w:color="auto"/>
                        <w:left w:val="none" w:sz="0" w:space="0" w:color="auto"/>
                        <w:bottom w:val="none" w:sz="0" w:space="0" w:color="auto"/>
                        <w:right w:val="none" w:sz="0" w:space="0" w:color="auto"/>
                      </w:divBdr>
                      <w:divsChild>
                        <w:div w:id="1787847454">
                          <w:marLeft w:val="0"/>
                          <w:marRight w:val="0"/>
                          <w:marTop w:val="0"/>
                          <w:marBottom w:val="0"/>
                          <w:divBdr>
                            <w:top w:val="none" w:sz="0" w:space="0" w:color="auto"/>
                            <w:left w:val="none" w:sz="0" w:space="0" w:color="auto"/>
                            <w:bottom w:val="none" w:sz="0" w:space="0" w:color="auto"/>
                            <w:right w:val="none" w:sz="0" w:space="0" w:color="auto"/>
                          </w:divBdr>
                          <w:divsChild>
                            <w:div w:id="299238476">
                              <w:marLeft w:val="0"/>
                              <w:marRight w:val="0"/>
                              <w:marTop w:val="0"/>
                              <w:marBottom w:val="0"/>
                              <w:divBdr>
                                <w:top w:val="none" w:sz="0" w:space="0" w:color="auto"/>
                                <w:left w:val="none" w:sz="0" w:space="0" w:color="auto"/>
                                <w:bottom w:val="none" w:sz="0" w:space="0" w:color="auto"/>
                                <w:right w:val="none" w:sz="0" w:space="0" w:color="auto"/>
                              </w:divBdr>
                              <w:divsChild>
                                <w:div w:id="1596936251">
                                  <w:marLeft w:val="0"/>
                                  <w:marRight w:val="0"/>
                                  <w:marTop w:val="0"/>
                                  <w:marBottom w:val="0"/>
                                  <w:divBdr>
                                    <w:top w:val="none" w:sz="0" w:space="0" w:color="auto"/>
                                    <w:left w:val="none" w:sz="0" w:space="0" w:color="auto"/>
                                    <w:bottom w:val="none" w:sz="0" w:space="0" w:color="auto"/>
                                    <w:right w:val="none" w:sz="0" w:space="0" w:color="auto"/>
                                  </w:divBdr>
                                  <w:divsChild>
                                    <w:div w:id="7222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49561">
      <w:bodyDiv w:val="1"/>
      <w:marLeft w:val="0"/>
      <w:marRight w:val="0"/>
      <w:marTop w:val="0"/>
      <w:marBottom w:val="0"/>
      <w:divBdr>
        <w:top w:val="none" w:sz="0" w:space="0" w:color="auto"/>
        <w:left w:val="none" w:sz="0" w:space="0" w:color="auto"/>
        <w:bottom w:val="none" w:sz="0" w:space="0" w:color="auto"/>
        <w:right w:val="none" w:sz="0" w:space="0" w:color="auto"/>
      </w:divBdr>
    </w:div>
    <w:div w:id="1516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HRC/ComplaintProcedure/Pages/WGSituations.aspx" TargetMode="External"/><Relationship Id="rId3" Type="http://schemas.openxmlformats.org/officeDocument/2006/relationships/settings" Target="settings.xml"/><Relationship Id="rId7" Type="http://schemas.openxmlformats.org/officeDocument/2006/relationships/hyperlink" Target="https://www.ohchr.org/EN/HRBodies/HRC/ComplaintProcedure/Pages/WGCommunic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hchr-cp@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fr/hr-bodies/hrc/complaint-procedure/hrc-complaint-procedure-inde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2017</Words>
  <Characters>11095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PROTAT</dc:creator>
  <cp:keywords/>
  <dc:description/>
  <cp:lastModifiedBy>Diane PROTAT</cp:lastModifiedBy>
  <cp:revision>13</cp:revision>
  <dcterms:created xsi:type="dcterms:W3CDTF">2022-11-21T15:06:00Z</dcterms:created>
  <dcterms:modified xsi:type="dcterms:W3CDTF">2022-11-22T15:47:00Z</dcterms:modified>
</cp:coreProperties>
</file>